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rPr>
      </w:pPr>
      <w:r>
        <w:rPr>
          <w:rFonts w:hint="eastAsia" w:ascii="黑体" w:hAnsi="宋体" w:eastAsia="黑体"/>
          <w:sz w:val="32"/>
        </w:rPr>
        <w:t>数学</w:t>
      </w:r>
      <w:r>
        <w:rPr>
          <w:rFonts w:ascii="黑体" w:hAnsi="宋体" w:eastAsia="黑体"/>
          <w:sz w:val="32"/>
        </w:rPr>
        <w:t xml:space="preserve">      </w:t>
      </w:r>
      <w:r>
        <w:rPr>
          <w:rFonts w:hint="eastAsia" w:ascii="宋体" w:hAnsi="宋体"/>
        </w:rPr>
        <w:t>代码：</w:t>
      </w:r>
      <w:r>
        <w:rPr>
          <w:rFonts w:ascii="宋体" w:hAnsi="宋体"/>
        </w:rPr>
        <w:t>0701</w:t>
      </w:r>
    </w:p>
    <w:p>
      <w:pPr>
        <w:spacing w:line="360" w:lineRule="auto"/>
        <w:jc w:val="center"/>
        <w:rPr>
          <w:rFonts w:ascii="宋体"/>
        </w:rPr>
      </w:pPr>
    </w:p>
    <w:p>
      <w:pPr>
        <w:spacing w:line="360" w:lineRule="auto"/>
        <w:rPr>
          <w:rFonts w:eastAsia="黑体"/>
          <w:sz w:val="28"/>
        </w:rPr>
      </w:pPr>
      <w:r>
        <w:rPr>
          <w:rFonts w:hint="eastAsia" w:eastAsia="黑体"/>
          <w:sz w:val="28"/>
        </w:rPr>
        <w:t>一、培养目标</w:t>
      </w:r>
    </w:p>
    <w:p>
      <w:pPr>
        <w:snapToGrid w:val="0"/>
        <w:spacing w:line="360" w:lineRule="auto"/>
        <w:ind w:firstLine="420" w:firstLineChars="200"/>
        <w:rPr>
          <w:rFonts w:ascii="宋体" w:cs="宋体"/>
          <w:kern w:val="0"/>
          <w:szCs w:val="21"/>
        </w:rPr>
      </w:pPr>
      <w:bookmarkStart w:id="0" w:name="_Hlk72099880"/>
      <w:r>
        <w:rPr>
          <w:rFonts w:hint="eastAsia" w:ascii="宋体" w:cs="宋体"/>
          <w:kern w:val="0"/>
          <w:szCs w:val="21"/>
        </w:rPr>
        <w:t>以“</w:t>
      </w:r>
      <w:r>
        <w:rPr>
          <w:rFonts w:ascii="宋体" w:cs="宋体"/>
          <w:kern w:val="0"/>
          <w:szCs w:val="21"/>
        </w:rPr>
        <w:t>立德树人</w:t>
      </w:r>
      <w:r>
        <w:rPr>
          <w:rFonts w:hint="eastAsia" w:ascii="宋体" w:cs="宋体"/>
          <w:kern w:val="0"/>
          <w:szCs w:val="21"/>
        </w:rPr>
        <w:t>”</w:t>
      </w:r>
      <w:r>
        <w:rPr>
          <w:rFonts w:ascii="宋体" w:cs="宋体"/>
          <w:kern w:val="0"/>
          <w:szCs w:val="21"/>
        </w:rPr>
        <w:t>为根本任务，</w:t>
      </w:r>
      <w:r>
        <w:rPr>
          <w:rFonts w:hint="eastAsia" w:ascii="宋体" w:cs="宋体"/>
          <w:kern w:val="0"/>
          <w:szCs w:val="21"/>
        </w:rPr>
        <w:t>促进研究生</w:t>
      </w:r>
      <w:r>
        <w:rPr>
          <w:rFonts w:ascii="宋体" w:cs="宋体"/>
          <w:kern w:val="0"/>
          <w:szCs w:val="21"/>
        </w:rPr>
        <w:t>德智体美</w:t>
      </w:r>
      <w:r>
        <w:rPr>
          <w:rFonts w:hint="eastAsia" w:ascii="宋体" w:cs="宋体"/>
          <w:kern w:val="0"/>
          <w:szCs w:val="21"/>
        </w:rPr>
        <w:t>劳</w:t>
      </w:r>
      <w:r>
        <w:rPr>
          <w:rFonts w:ascii="宋体" w:cs="宋体"/>
          <w:kern w:val="0"/>
          <w:szCs w:val="21"/>
        </w:rPr>
        <w:t>全面发展，</w:t>
      </w:r>
      <w:bookmarkEnd w:id="0"/>
      <w:r>
        <w:rPr>
          <w:rFonts w:hint="eastAsia" w:ascii="宋体" w:cs="宋体"/>
          <w:kern w:val="0"/>
          <w:szCs w:val="21"/>
        </w:rPr>
        <w:t>培养</w:t>
      </w:r>
      <w:r>
        <w:rPr>
          <w:rFonts w:ascii="宋体" w:cs="宋体"/>
          <w:kern w:val="0"/>
          <w:szCs w:val="21"/>
        </w:rPr>
        <w:t>具备较强批判性思维和创新性思维，能独立从事科学研究工作，具有国际视野。</w:t>
      </w:r>
      <w:r>
        <w:rPr>
          <w:rFonts w:hint="eastAsia" w:ascii="宋体" w:cs="宋体"/>
          <w:kern w:val="0"/>
          <w:szCs w:val="21"/>
        </w:rPr>
        <w:t>培养学生使其具有扎实宽广的数学基础，具有独立从事科学理论研究的能力、或运用专业知识解决某些实际问题的能力，为数学学科领域培养创新人才。具体要求为：</w:t>
      </w:r>
    </w:p>
    <w:p>
      <w:pPr>
        <w:snapToGrid w:val="0"/>
        <w:spacing w:line="360" w:lineRule="auto"/>
        <w:ind w:firstLine="420" w:firstLineChars="200"/>
        <w:rPr>
          <w:rFonts w:ascii="宋体" w:cs="宋体"/>
          <w:kern w:val="0"/>
          <w:szCs w:val="21"/>
        </w:rPr>
      </w:pPr>
      <w:r>
        <w:rPr>
          <w:rFonts w:ascii="宋体" w:cs="宋体"/>
          <w:kern w:val="0"/>
          <w:szCs w:val="21"/>
        </w:rPr>
        <w:t>1.</w:t>
      </w:r>
      <w:r>
        <w:rPr>
          <w:rFonts w:hint="eastAsia" w:ascii="宋体" w:cs="宋体"/>
          <w:kern w:val="0"/>
          <w:szCs w:val="21"/>
        </w:rPr>
        <w:t>较好地掌握马克思列宁主义、毛泽东思想、邓小平理论、“三个代表”重要思想、科学发展观、</w:t>
      </w:r>
      <w:r>
        <w:rPr>
          <w:rFonts w:hint="eastAsia"/>
        </w:rPr>
        <w:t>习近平新时代中国特色社会主义思想</w:t>
      </w:r>
      <w:r>
        <w:rPr>
          <w:rFonts w:hint="eastAsia" w:ascii="宋体" w:cs="宋体"/>
          <w:kern w:val="0"/>
          <w:szCs w:val="21"/>
        </w:rPr>
        <w:t>，具有坚定正确的政治方向；拥护党的基本路线，热爱祖国，遵纪守法，品行端正，学风严谨，身心健康；具有较强的事业心和奉献精神，积极为社会主义现代化建设服务。</w:t>
      </w:r>
    </w:p>
    <w:p>
      <w:pPr>
        <w:snapToGrid w:val="0"/>
        <w:spacing w:line="360" w:lineRule="auto"/>
        <w:ind w:firstLine="420" w:firstLineChars="200"/>
        <w:rPr>
          <w:rFonts w:ascii="宋体" w:cs="宋体"/>
          <w:kern w:val="0"/>
          <w:szCs w:val="21"/>
        </w:rPr>
      </w:pPr>
      <w:r>
        <w:rPr>
          <w:rFonts w:ascii="宋体" w:cs="宋体"/>
          <w:kern w:val="0"/>
          <w:szCs w:val="21"/>
        </w:rPr>
        <w:t>2.</w:t>
      </w:r>
      <w:r>
        <w:rPr>
          <w:rFonts w:hint="eastAsia" w:ascii="宋体" w:cs="宋体"/>
          <w:kern w:val="0"/>
          <w:szCs w:val="21"/>
        </w:rPr>
        <w:t>具有坚实宽广的数学理论基础，在基础数学、应用数学、运筹学与控制论等学科的某个方向上掌握系统的专门理论知识、技术与方法，并且掌握一定的相关学科知识，具有独立从事科学研究工作的能力，在科学或专门技术上做出创造性的成果。</w:t>
      </w:r>
      <w:r>
        <w:rPr>
          <w:rFonts w:ascii="宋体" w:cs="宋体"/>
          <w:kern w:val="0"/>
          <w:szCs w:val="21"/>
        </w:rPr>
        <w:t>恪守学术道德，崇尚学术诚信，具有严谨的科研作风和锲而不舍的钻研精神</w:t>
      </w:r>
      <w:r>
        <w:rPr>
          <w:rFonts w:hint="eastAsia" w:ascii="宋体" w:cs="宋体"/>
          <w:kern w:val="0"/>
          <w:szCs w:val="21"/>
        </w:rPr>
        <w:t>。</w:t>
      </w:r>
    </w:p>
    <w:p>
      <w:pPr>
        <w:snapToGrid w:val="0"/>
        <w:spacing w:line="360" w:lineRule="auto"/>
        <w:ind w:firstLine="420" w:firstLineChars="200"/>
        <w:rPr>
          <w:rFonts w:ascii="宋体" w:cs="宋体"/>
          <w:kern w:val="0"/>
          <w:szCs w:val="21"/>
        </w:rPr>
      </w:pPr>
      <w:r>
        <w:rPr>
          <w:rFonts w:ascii="宋体" w:cs="宋体"/>
          <w:kern w:val="0"/>
          <w:szCs w:val="21"/>
        </w:rPr>
        <w:t>3.</w:t>
      </w:r>
      <w:r>
        <w:rPr>
          <w:rFonts w:hint="eastAsia" w:ascii="宋体" w:cs="宋体"/>
          <w:kern w:val="0"/>
          <w:szCs w:val="21"/>
        </w:rPr>
        <w:t>熟练掌握一门外国语</w:t>
      </w:r>
      <w:r>
        <w:rPr>
          <w:rFonts w:ascii="宋体" w:cs="宋体"/>
          <w:kern w:val="0"/>
          <w:szCs w:val="21"/>
        </w:rPr>
        <w:t>(</w:t>
      </w:r>
      <w:r>
        <w:rPr>
          <w:rFonts w:hint="eastAsia" w:ascii="宋体" w:cs="宋体"/>
          <w:kern w:val="0"/>
          <w:szCs w:val="21"/>
        </w:rPr>
        <w:t>一般为英语</w:t>
      </w:r>
      <w:r>
        <w:rPr>
          <w:rFonts w:ascii="宋体" w:cs="宋体"/>
          <w:kern w:val="0"/>
          <w:szCs w:val="21"/>
        </w:rPr>
        <w:t>),</w:t>
      </w:r>
      <w:r>
        <w:rPr>
          <w:rFonts w:hint="eastAsia" w:ascii="宋体" w:cs="宋体"/>
          <w:kern w:val="0"/>
          <w:szCs w:val="21"/>
        </w:rPr>
        <w:t>能应用该门外国语熟练阅读</w:t>
      </w:r>
      <w:r>
        <w:rPr>
          <w:rFonts w:hint="eastAsia" w:ascii="宋体" w:cs="宋体"/>
          <w:kern w:val="0"/>
          <w:szCs w:val="21"/>
          <w:lang w:eastAsia="zh-CN"/>
        </w:rPr>
        <w:t>数学</w:t>
      </w:r>
      <w:r>
        <w:rPr>
          <w:rFonts w:hint="eastAsia" w:ascii="宋体" w:cs="宋体"/>
          <w:kern w:val="0"/>
          <w:szCs w:val="21"/>
        </w:rPr>
        <w:t>资料、撰写学术论文，并具有良好的外语听说能力以及进行国际学术交流的能力。</w:t>
      </w:r>
      <w:r>
        <w:rPr>
          <w:rFonts w:ascii="宋体" w:cs="宋体"/>
          <w:kern w:val="0"/>
          <w:szCs w:val="21"/>
        </w:rPr>
        <w:t xml:space="preserve"> </w:t>
      </w:r>
    </w:p>
    <w:p>
      <w:pPr>
        <w:snapToGrid w:val="0"/>
        <w:spacing w:line="360" w:lineRule="auto"/>
        <w:ind w:firstLine="420" w:firstLineChars="200"/>
        <w:rPr>
          <w:rFonts w:hint="eastAsia" w:ascii="宋体" w:cs="宋体"/>
          <w:kern w:val="0"/>
          <w:szCs w:val="21"/>
        </w:rPr>
      </w:pPr>
      <w:r>
        <w:rPr>
          <w:rFonts w:ascii="宋体" w:cs="宋体"/>
          <w:kern w:val="0"/>
          <w:szCs w:val="21"/>
        </w:rPr>
        <w:t>4.</w:t>
      </w:r>
      <w:r>
        <w:rPr>
          <w:rFonts w:hint="eastAsia" w:ascii="宋体" w:cs="宋体"/>
          <w:kern w:val="0"/>
          <w:szCs w:val="21"/>
        </w:rPr>
        <w:t>具有健康的体魄和良好的心理素质。</w:t>
      </w:r>
    </w:p>
    <w:p>
      <w:pPr>
        <w:spacing w:line="360" w:lineRule="auto"/>
        <w:rPr>
          <w:rFonts w:ascii="黑体" w:hAnsi="宋体" w:eastAsia="黑体"/>
          <w:sz w:val="28"/>
        </w:rPr>
      </w:pPr>
      <w:r>
        <w:rPr>
          <w:rFonts w:hint="eastAsia" w:ascii="黑体" w:hAnsi="宋体" w:eastAsia="黑体"/>
          <w:sz w:val="28"/>
        </w:rPr>
        <w:t>二、学习年限</w:t>
      </w:r>
    </w:p>
    <w:p>
      <w:pPr>
        <w:snapToGrid w:val="0"/>
        <w:spacing w:line="360" w:lineRule="auto"/>
        <w:ind w:firstLine="420" w:firstLineChars="200"/>
        <w:rPr>
          <w:rFonts w:ascii="宋体" w:cs="宋体"/>
          <w:kern w:val="0"/>
          <w:szCs w:val="21"/>
        </w:rPr>
      </w:pPr>
      <w:r>
        <w:rPr>
          <w:rFonts w:hint="eastAsia" w:ascii="宋体" w:cs="宋体"/>
          <w:kern w:val="0"/>
          <w:szCs w:val="21"/>
        </w:rPr>
        <w:t>博士研究生的基本学习年限一般为3-5年，在职博士研究生一般为4年，直博研究生一般为5年，硕博连读研究生一般为6-7年（含硕士阶段）。在规定基本年限内，未达培养要求的，可以申请延长学习年限，但博士阶段最长学习年限不得超过8年。博士研究生未在规定时间内完成学业，又未按规定申请延长学习年限者，视为自动放弃学业，对自动放弃学业的以及在最长学习年限内未能完成学业的研究生，按其学业完成情况作出相应的结束学业结论。</w:t>
      </w:r>
    </w:p>
    <w:p>
      <w:pPr>
        <w:snapToGrid w:val="0"/>
        <w:spacing w:line="360" w:lineRule="auto"/>
        <w:ind w:firstLine="420" w:firstLineChars="200"/>
        <w:rPr>
          <w:rFonts w:ascii="宋体" w:cs="宋体"/>
          <w:kern w:val="0"/>
          <w:szCs w:val="21"/>
        </w:rPr>
      </w:pPr>
      <w:r>
        <w:rPr>
          <w:rFonts w:ascii="宋体" w:cs="宋体"/>
          <w:color w:val="auto"/>
          <w:kern w:val="0"/>
          <w:szCs w:val="21"/>
        </w:rPr>
        <w:t>博士研究生原则上不提前毕业，对于特别优秀者最多可提前一年，提前毕业的博士研究生除完成培养方案规定的课程外，必须有四篇以上</w:t>
      </w:r>
      <w:r>
        <w:rPr>
          <w:rFonts w:hint="eastAsia" w:ascii="宋体" w:cs="宋体"/>
          <w:color w:val="auto"/>
          <w:kern w:val="0"/>
          <w:szCs w:val="21"/>
          <w:lang w:eastAsia="zh-CN"/>
        </w:rPr>
        <w:t>代表性论文（</w:t>
      </w:r>
      <w:r>
        <w:rPr>
          <w:rFonts w:hint="eastAsia" w:ascii="宋体" w:cs="宋体"/>
          <w:color w:val="auto"/>
          <w:kern w:val="0"/>
          <w:szCs w:val="21"/>
          <w:lang w:val="en-US" w:eastAsia="zh-CN"/>
        </w:rPr>
        <w:t>T1-T3期刊</w:t>
      </w:r>
      <w:r>
        <w:rPr>
          <w:rFonts w:hint="eastAsia" w:ascii="宋体" w:cs="宋体"/>
          <w:color w:val="auto"/>
          <w:kern w:val="0"/>
          <w:szCs w:val="21"/>
          <w:lang w:eastAsia="zh-CN"/>
        </w:rPr>
        <w:t>）</w:t>
      </w:r>
      <w:r>
        <w:rPr>
          <w:rFonts w:ascii="宋体" w:cs="宋体"/>
          <w:color w:val="auto"/>
          <w:kern w:val="0"/>
          <w:szCs w:val="21"/>
        </w:rPr>
        <w:t xml:space="preserve">，所取得的科研成果均要求研究生为第一作者。 </w:t>
      </w:r>
    </w:p>
    <w:p>
      <w:pPr>
        <w:spacing w:line="360" w:lineRule="auto"/>
        <w:rPr>
          <w:rFonts w:ascii="宋体" w:cs="宋体"/>
          <w:kern w:val="0"/>
          <w:szCs w:val="21"/>
        </w:rPr>
      </w:pPr>
      <w:r>
        <w:rPr>
          <w:rFonts w:eastAsia="黑体"/>
          <w:sz w:val="28"/>
        </w:rPr>
        <w:t>三、</w:t>
      </w:r>
      <w:r>
        <w:rPr>
          <w:rFonts w:hint="eastAsia" w:eastAsia="黑体"/>
          <w:sz w:val="28"/>
          <w:lang w:eastAsia="zh-CN"/>
        </w:rPr>
        <w:t>研究</w:t>
      </w:r>
      <w:r>
        <w:rPr>
          <w:rFonts w:eastAsia="黑体"/>
          <w:sz w:val="28"/>
        </w:rPr>
        <w:t>方向</w:t>
      </w:r>
    </w:p>
    <w:p>
      <w:pPr>
        <w:snapToGrid w:val="0"/>
        <w:spacing w:line="360" w:lineRule="auto"/>
        <w:ind w:firstLine="420" w:firstLineChars="200"/>
        <w:rPr>
          <w:rFonts w:hint="eastAsia" w:ascii="宋体" w:eastAsia="宋体" w:cs="宋体"/>
          <w:color w:val="auto"/>
          <w:kern w:val="0"/>
          <w:szCs w:val="21"/>
          <w:lang w:val="en-US" w:eastAsia="zh-CN"/>
        </w:rPr>
      </w:pPr>
      <w:r>
        <w:rPr>
          <w:rFonts w:ascii="宋体" w:cs="宋体"/>
          <w:kern w:val="0"/>
          <w:szCs w:val="21"/>
        </w:rPr>
        <w:t>本学科下设下面3个</w:t>
      </w:r>
      <w:r>
        <w:rPr>
          <w:rFonts w:hint="eastAsia" w:ascii="宋体" w:cs="宋体"/>
          <w:kern w:val="0"/>
          <w:szCs w:val="21"/>
        </w:rPr>
        <w:t>学科</w:t>
      </w:r>
      <w:r>
        <w:rPr>
          <w:rFonts w:ascii="宋体" w:cs="宋体"/>
          <w:kern w:val="0"/>
          <w:szCs w:val="21"/>
        </w:rPr>
        <w:t>方向：</w:t>
      </w:r>
      <w:r>
        <w:rPr>
          <w:rFonts w:hint="eastAsia" w:ascii="宋体" w:cs="宋体"/>
          <w:kern w:val="0"/>
          <w:szCs w:val="21"/>
        </w:rPr>
        <w:t>基础数学、应用数学、运筹学与控制论。</w:t>
      </w:r>
      <w:r>
        <w:rPr>
          <w:rFonts w:hint="eastAsia" w:ascii="宋体" w:cs="宋体"/>
          <w:kern w:val="0"/>
          <w:szCs w:val="21"/>
          <w:lang w:eastAsia="zh-CN"/>
        </w:rPr>
        <w:t>涵盖</w:t>
      </w:r>
      <w:r>
        <w:rPr>
          <w:rFonts w:hint="eastAsia" w:ascii="宋体" w:cs="宋体"/>
          <w:kern w:val="0"/>
          <w:szCs w:val="21"/>
          <w:lang w:val="en-US" w:eastAsia="zh-CN"/>
        </w:rPr>
        <w:t>6个研究方向：</w:t>
      </w:r>
      <w:r>
        <w:rPr>
          <w:rFonts w:ascii="宋体" w:cs="宋体"/>
          <w:color w:val="auto"/>
          <w:kern w:val="0"/>
          <w:szCs w:val="21"/>
        </w:rPr>
        <w:t>泛函分析、代数</w:t>
      </w:r>
      <w:r>
        <w:rPr>
          <w:rFonts w:hint="eastAsia" w:ascii="宋体" w:cs="宋体"/>
          <w:color w:val="auto"/>
          <w:kern w:val="0"/>
          <w:szCs w:val="21"/>
          <w:lang w:eastAsia="zh-CN"/>
        </w:rPr>
        <w:t>学、</w:t>
      </w:r>
      <w:r>
        <w:rPr>
          <w:rFonts w:ascii="宋体" w:cs="宋体"/>
          <w:color w:val="auto"/>
          <w:kern w:val="0"/>
          <w:szCs w:val="21"/>
        </w:rPr>
        <w:t>生物数学</w:t>
      </w:r>
      <w:r>
        <w:rPr>
          <w:rFonts w:hint="eastAsia" w:ascii="宋体" w:cs="宋体"/>
          <w:color w:val="auto"/>
          <w:kern w:val="0"/>
          <w:szCs w:val="21"/>
          <w:lang w:eastAsia="zh-CN"/>
        </w:rPr>
        <w:t>与微分方程、概率论与数理统计</w:t>
      </w:r>
      <w:r>
        <w:rPr>
          <w:rFonts w:ascii="宋体" w:cs="宋体"/>
          <w:color w:val="auto"/>
          <w:kern w:val="0"/>
          <w:szCs w:val="21"/>
        </w:rPr>
        <w:t>、</w:t>
      </w:r>
      <w:r>
        <w:rPr>
          <w:rFonts w:hint="eastAsia" w:ascii="宋体" w:cs="宋体"/>
          <w:color w:val="auto"/>
          <w:kern w:val="0"/>
          <w:szCs w:val="21"/>
        </w:rPr>
        <w:t>分布参数系统控制理论</w:t>
      </w:r>
      <w:r>
        <w:rPr>
          <w:rFonts w:hint="eastAsia" w:ascii="宋体" w:cs="宋体"/>
          <w:color w:val="auto"/>
          <w:kern w:val="0"/>
          <w:szCs w:val="21"/>
          <w:lang w:eastAsia="zh-CN"/>
        </w:rPr>
        <w:t>、智能计算与协同控制。</w:t>
      </w:r>
    </w:p>
    <w:p>
      <w:pPr>
        <w:snapToGrid w:val="0"/>
        <w:spacing w:line="360" w:lineRule="auto"/>
        <w:ind w:firstLine="420" w:firstLineChars="200"/>
        <w:rPr>
          <w:rFonts w:ascii="宋体" w:cs="宋体"/>
          <w:kern w:val="0"/>
          <w:szCs w:val="21"/>
        </w:rPr>
      </w:pPr>
      <w:r>
        <w:rPr>
          <w:rFonts w:ascii="宋体" w:cs="宋体"/>
          <w:kern w:val="0"/>
          <w:szCs w:val="21"/>
        </w:rPr>
        <w:t>基础数学主要研究</w:t>
      </w:r>
      <w:r>
        <w:rPr>
          <w:rFonts w:hint="eastAsia" w:ascii="宋体" w:cs="宋体"/>
          <w:kern w:val="0"/>
          <w:szCs w:val="21"/>
        </w:rPr>
        <w:t>领域</w:t>
      </w:r>
      <w:r>
        <w:rPr>
          <w:rFonts w:ascii="宋体" w:cs="宋体"/>
          <w:kern w:val="0"/>
          <w:szCs w:val="21"/>
        </w:rPr>
        <w:t>是泛函分析、代数</w:t>
      </w:r>
      <w:r>
        <w:rPr>
          <w:rFonts w:hint="eastAsia" w:ascii="宋体" w:cs="宋体"/>
          <w:kern w:val="0"/>
          <w:szCs w:val="21"/>
        </w:rPr>
        <w:t>。</w:t>
      </w:r>
      <w:r>
        <w:rPr>
          <w:rFonts w:ascii="宋体" w:cs="宋体"/>
          <w:kern w:val="0"/>
          <w:szCs w:val="21"/>
        </w:rPr>
        <w:t>重点关注非线性泛函分析、算子理论与算子代数、群及其表示等内容。</w:t>
      </w:r>
    </w:p>
    <w:p>
      <w:pPr>
        <w:snapToGrid w:val="0"/>
        <w:spacing w:line="360" w:lineRule="auto"/>
        <w:ind w:firstLine="420" w:firstLineChars="200"/>
        <w:rPr>
          <w:rFonts w:ascii="宋体" w:cs="宋体"/>
          <w:kern w:val="0"/>
          <w:szCs w:val="21"/>
        </w:rPr>
      </w:pPr>
      <w:r>
        <w:rPr>
          <w:rFonts w:hint="eastAsia" w:ascii="宋体" w:cs="宋体"/>
          <w:kern w:val="0"/>
          <w:szCs w:val="21"/>
          <w:lang w:val="en-US" w:eastAsia="zh-CN"/>
        </w:rPr>
        <w:t>1.</w:t>
      </w:r>
      <w:r>
        <w:rPr>
          <w:rFonts w:ascii="宋体" w:cs="宋体"/>
          <w:kern w:val="0"/>
          <w:szCs w:val="21"/>
        </w:rPr>
        <w:t>泛函分析</w:t>
      </w:r>
      <w:r>
        <w:rPr>
          <w:rFonts w:hint="eastAsia" w:ascii="宋体" w:cs="宋体"/>
          <w:kern w:val="0"/>
          <w:szCs w:val="21"/>
          <w:lang w:val="en-US" w:eastAsia="zh-CN"/>
        </w:rPr>
        <w:t>:</w:t>
      </w:r>
      <w:r>
        <w:rPr>
          <w:rFonts w:ascii="宋体" w:cs="宋体"/>
          <w:kern w:val="0"/>
          <w:szCs w:val="21"/>
        </w:rPr>
        <w:t>是现代数学中的重要分支，其在数学物理方程、量子力学、概率论、计算数学、微分几何、线性系统和控制理论、量子信息等学科有着广泛的应用。非线性泛函分析部分主要研究拓扑度理论、临界点理论、无穷维Morse理论等内容；算子理论与算子代数部分重点</w:t>
      </w:r>
      <w:r>
        <w:rPr>
          <w:rFonts w:hint="eastAsia" w:ascii="宋体" w:cs="宋体"/>
          <w:kern w:val="0"/>
          <w:szCs w:val="21"/>
          <w:lang w:eastAsia="zh-CN"/>
        </w:rPr>
        <w:t>算子代数的分类，</w:t>
      </w:r>
      <w:r>
        <w:rPr>
          <w:rFonts w:ascii="宋体" w:cs="宋体"/>
          <w:kern w:val="0"/>
          <w:szCs w:val="21"/>
        </w:rPr>
        <w:t>研究算子代数上的一般保持问题以及在量子信息中的若干应用，以进一步丰富算子理论和算子代数的成果，同时为解决量子信息的相关问题提供有力的数学工具。</w:t>
      </w:r>
    </w:p>
    <w:p>
      <w:pPr>
        <w:snapToGrid w:val="0"/>
        <w:spacing w:line="360" w:lineRule="auto"/>
        <w:ind w:firstLine="420" w:firstLineChars="200"/>
        <w:rPr>
          <w:rFonts w:hint="eastAsia" w:ascii="Verdana" w:hAnsi="Verdana"/>
          <w:color w:val="000000"/>
          <w:szCs w:val="21"/>
        </w:rPr>
      </w:pPr>
      <w:r>
        <w:rPr>
          <w:rFonts w:hint="eastAsia" w:ascii="宋体" w:hAnsi="宋体"/>
          <w:lang w:val="en-US" w:eastAsia="zh-CN"/>
        </w:rPr>
        <w:t>2.</w:t>
      </w:r>
      <w:r>
        <w:rPr>
          <w:rFonts w:hint="eastAsia" w:ascii="宋体" w:hAnsi="宋体"/>
        </w:rPr>
        <w:t>代数</w:t>
      </w:r>
      <w:r>
        <w:rPr>
          <w:rFonts w:hint="eastAsia" w:ascii="宋体" w:hAnsi="宋体"/>
          <w:lang w:eastAsia="zh-CN"/>
        </w:rPr>
        <w:t>学：</w:t>
      </w:r>
      <w:r>
        <w:rPr>
          <w:rFonts w:hint="eastAsia" w:ascii="宋体" w:hAnsi="宋体"/>
        </w:rPr>
        <w:t>是数学学科极为重要的研究方向，在理论物理和化学等学科均有广泛而深刻的应用。群论部分重点研究有限群的结构理论及应用，表示论部分重点是借助环论和模论的观点和技术，探讨有限群的线性表示，以获得更为丰富的结构信息，建立更多的联系和应用。几何部分主要研究</w:t>
      </w:r>
      <w:r>
        <w:rPr>
          <w:rFonts w:ascii="Verdana" w:hAnsi="Verdana"/>
          <w:color w:val="000000"/>
          <w:szCs w:val="21"/>
        </w:rPr>
        <w:t>子流形的几何及拓扑性质以及微分流形上的非线性分析等内容</w:t>
      </w:r>
      <w:r>
        <w:rPr>
          <w:rFonts w:hint="eastAsia" w:ascii="Verdana" w:hAnsi="Verdana"/>
          <w:color w:val="000000"/>
          <w:szCs w:val="21"/>
        </w:rPr>
        <w:t>。</w:t>
      </w:r>
    </w:p>
    <w:p>
      <w:pPr>
        <w:snapToGrid w:val="0"/>
        <w:spacing w:line="360" w:lineRule="auto"/>
        <w:ind w:firstLine="420" w:firstLineChars="200"/>
        <w:rPr>
          <w:rFonts w:ascii="宋体" w:cs="宋体"/>
          <w:kern w:val="0"/>
          <w:szCs w:val="21"/>
        </w:rPr>
      </w:pPr>
      <w:r>
        <w:rPr>
          <w:rFonts w:ascii="宋体" w:cs="宋体"/>
          <w:kern w:val="0"/>
          <w:szCs w:val="21"/>
        </w:rPr>
        <w:t>应用数学主要研究的数学分支是生物数学</w:t>
      </w:r>
      <w:r>
        <w:rPr>
          <w:rFonts w:hint="eastAsia" w:ascii="宋体" w:cs="宋体"/>
          <w:kern w:val="0"/>
          <w:szCs w:val="21"/>
          <w:lang w:eastAsia="zh-CN"/>
        </w:rPr>
        <w:t>与微分方程</w:t>
      </w:r>
      <w:r>
        <w:rPr>
          <w:rFonts w:ascii="宋体" w:cs="宋体"/>
          <w:kern w:val="0"/>
          <w:szCs w:val="21"/>
        </w:rPr>
        <w:t>、</w:t>
      </w:r>
      <w:r>
        <w:rPr>
          <w:rFonts w:hint="eastAsia" w:ascii="宋体" w:cs="宋体"/>
          <w:color w:val="auto"/>
          <w:kern w:val="0"/>
          <w:szCs w:val="21"/>
          <w:u w:val="none"/>
          <w:lang w:eastAsia="zh-CN"/>
        </w:rPr>
        <w:t>智能计算与协同控制</w:t>
      </w:r>
      <w:r>
        <w:rPr>
          <w:rFonts w:ascii="宋体" w:cs="宋体"/>
          <w:kern w:val="0"/>
          <w:szCs w:val="21"/>
        </w:rPr>
        <w:t>，重点关注生物动力学、疾病大数据、</w:t>
      </w:r>
      <w:r>
        <w:rPr>
          <w:rFonts w:hint="eastAsia" w:ascii="宋体" w:cs="宋体"/>
          <w:kern w:val="0"/>
          <w:szCs w:val="21"/>
          <w:lang w:eastAsia="zh-CN"/>
        </w:rPr>
        <w:t>微分方程、</w:t>
      </w:r>
      <w:r>
        <w:rPr>
          <w:rFonts w:ascii="宋体" w:hAnsi="宋体" w:eastAsia="宋体" w:cs="宋体"/>
          <w:i w:val="0"/>
          <w:iCs w:val="0"/>
          <w:color w:val="000000"/>
          <w:kern w:val="0"/>
          <w:sz w:val="21"/>
          <w:szCs w:val="21"/>
          <w:lang w:val="en-US" w:eastAsia="zh-CN" w:bidi="ar"/>
        </w:rPr>
        <w:t>随机动力系统</w:t>
      </w:r>
      <w:r>
        <w:rPr>
          <w:rFonts w:ascii="宋体" w:cs="宋体"/>
          <w:kern w:val="0"/>
          <w:szCs w:val="21"/>
        </w:rPr>
        <w:t>等内容。</w:t>
      </w:r>
    </w:p>
    <w:p>
      <w:pPr>
        <w:numPr>
          <w:ilvl w:val="0"/>
          <w:numId w:val="1"/>
        </w:numPr>
        <w:snapToGrid w:val="0"/>
        <w:spacing w:line="360" w:lineRule="auto"/>
        <w:ind w:firstLine="420" w:firstLineChars="200"/>
        <w:rPr>
          <w:rFonts w:ascii="宋体" w:cs="宋体"/>
          <w:kern w:val="0"/>
          <w:szCs w:val="21"/>
        </w:rPr>
      </w:pPr>
      <w:r>
        <w:rPr>
          <w:rFonts w:hint="eastAsia" w:ascii="宋体" w:cs="宋体"/>
          <w:kern w:val="0"/>
          <w:szCs w:val="21"/>
        </w:rPr>
        <w:t>生物数学与微分方程：生物数学是生物学与数学之间的交叉学科，主要以数学方法研究和解决生物学问题。该方向研究内容为：生物动力学，疾病大数据，网络传播，微分方程、反应扩散方程、随机微分方程等理论及其应用。</w:t>
      </w:r>
    </w:p>
    <w:p>
      <w:pPr>
        <w:numPr>
          <w:ilvl w:val="0"/>
          <w:numId w:val="1"/>
        </w:numPr>
        <w:snapToGrid w:val="0"/>
        <w:spacing w:line="360" w:lineRule="auto"/>
        <w:ind w:firstLine="420" w:firstLineChars="200"/>
        <w:rPr>
          <w:rFonts w:hint="eastAsia" w:ascii="宋体" w:cs="宋体"/>
          <w:kern w:val="0"/>
          <w:szCs w:val="21"/>
        </w:rPr>
      </w:pPr>
      <w:r>
        <w:rPr>
          <w:rFonts w:hint="eastAsia" w:ascii="宋体" w:cs="宋体"/>
          <w:color w:val="auto"/>
          <w:kern w:val="0"/>
          <w:szCs w:val="21"/>
          <w:lang w:eastAsia="zh-CN"/>
        </w:rPr>
        <w:t>概率论与数理统计：</w:t>
      </w:r>
      <w:r>
        <w:rPr>
          <w:rFonts w:ascii="宋体" w:hAnsi="宋体" w:eastAsia="宋体" w:cs="宋体"/>
          <w:i w:val="0"/>
          <w:iCs w:val="0"/>
          <w:color w:val="000000"/>
          <w:kern w:val="0"/>
          <w:sz w:val="21"/>
          <w:szCs w:val="21"/>
          <w:lang w:val="en-US" w:eastAsia="zh-CN" w:bidi="ar"/>
        </w:rPr>
        <w:t>主要针对随机动力系统，旨在运用现代概率理论和统计学习方法，以随机动力系统的样本路径为基础，研究系统的随机响应、不确定参数的识别与预测及数据分析等方面的理论及方法研究。</w:t>
      </w:r>
    </w:p>
    <w:p>
      <w:pPr>
        <w:snapToGrid w:val="0"/>
        <w:spacing w:line="360" w:lineRule="auto"/>
        <w:ind w:firstLine="420" w:firstLineChars="200"/>
        <w:rPr>
          <w:rFonts w:hint="eastAsia" w:ascii="宋体" w:cs="宋体"/>
          <w:kern w:val="0"/>
          <w:szCs w:val="21"/>
        </w:rPr>
      </w:pPr>
      <w:r>
        <w:rPr>
          <w:rFonts w:hint="eastAsia" w:ascii="宋体" w:cs="宋体"/>
          <w:kern w:val="0"/>
          <w:szCs w:val="21"/>
        </w:rPr>
        <w:t>运筹学与控制论主要研究的数学分支是分布参数系统控制理论。重点关注偏微分方程解的存在正则性以及相应系统的能控性、能观性和能稳性</w:t>
      </w:r>
      <w:r>
        <w:rPr>
          <w:rFonts w:hint="eastAsia" w:ascii="宋体" w:cs="宋体"/>
          <w:kern w:val="0"/>
          <w:szCs w:val="21"/>
          <w:lang w:eastAsia="zh-CN"/>
        </w:rPr>
        <w:t>、</w:t>
      </w:r>
      <w:r>
        <w:rPr>
          <w:rFonts w:hint="eastAsia" w:ascii="宋体" w:cs="宋体"/>
          <w:color w:val="auto"/>
          <w:kern w:val="0"/>
          <w:szCs w:val="21"/>
          <w:u w:val="none"/>
          <w:lang w:eastAsia="zh-CN"/>
        </w:rPr>
        <w:t>智能控制、多智能体系统协同控制</w:t>
      </w:r>
      <w:r>
        <w:rPr>
          <w:rFonts w:hint="eastAsia" w:ascii="宋体" w:cs="宋体"/>
          <w:kern w:val="0"/>
          <w:szCs w:val="21"/>
        </w:rPr>
        <w:t>等内容。</w:t>
      </w:r>
    </w:p>
    <w:p>
      <w:pPr>
        <w:numPr>
          <w:ilvl w:val="0"/>
          <w:numId w:val="1"/>
        </w:numPr>
        <w:snapToGrid w:val="0"/>
        <w:spacing w:line="360" w:lineRule="auto"/>
        <w:ind w:left="0" w:leftChars="0" w:firstLine="420" w:firstLineChars="200"/>
        <w:rPr>
          <w:rFonts w:hint="eastAsia" w:ascii="宋体" w:cs="宋体"/>
          <w:kern w:val="0"/>
          <w:szCs w:val="21"/>
        </w:rPr>
      </w:pPr>
      <w:r>
        <w:rPr>
          <w:rFonts w:hint="eastAsia" w:ascii="宋体" w:cs="宋体"/>
          <w:kern w:val="0"/>
          <w:szCs w:val="21"/>
        </w:rPr>
        <w:t>分布参数系统控制理论</w:t>
      </w:r>
      <w:r>
        <w:rPr>
          <w:rFonts w:hint="eastAsia" w:ascii="宋体" w:cs="宋体"/>
          <w:kern w:val="0"/>
          <w:szCs w:val="21"/>
          <w:lang w:eastAsia="zh-CN"/>
        </w:rPr>
        <w:t>：</w:t>
      </w:r>
      <w:r>
        <w:rPr>
          <w:rFonts w:hint="eastAsia" w:ascii="宋体" w:cs="宋体"/>
          <w:kern w:val="0"/>
          <w:szCs w:val="21"/>
        </w:rPr>
        <w:t>是数学学科中的一个重要研究方向，主要研究偏微分方程和相应的控制问题，为相关的科学和工程问题提供理论指导，将控制理论应用到实际问题和其他学科。</w:t>
      </w:r>
    </w:p>
    <w:p>
      <w:pPr>
        <w:numPr>
          <w:ilvl w:val="0"/>
          <w:numId w:val="1"/>
        </w:numPr>
        <w:snapToGrid w:val="0"/>
        <w:spacing w:line="360" w:lineRule="auto"/>
        <w:ind w:left="0" w:leftChars="0" w:firstLine="420" w:firstLineChars="200"/>
        <w:rPr>
          <w:rFonts w:ascii="宋体" w:cs="宋体"/>
          <w:kern w:val="0"/>
          <w:szCs w:val="21"/>
        </w:rPr>
      </w:pPr>
      <w:r>
        <w:rPr>
          <w:rFonts w:hint="eastAsia" w:ascii="宋体" w:cs="宋体"/>
          <w:color w:val="auto"/>
          <w:kern w:val="0"/>
          <w:szCs w:val="21"/>
          <w:u w:val="none"/>
          <w:lang w:eastAsia="zh-CN"/>
        </w:rPr>
        <w:t>智能计算与协同控制：主要从事智能控制、多智能体系统协同控制、复杂网络建模、无穷维动力系统数值逼近等方面的理论研究，及通信网优化、传感器网络应用等方面的实践研究。以理论与实践紧密结合，旨在培养全方面综合提升与发展的创新型学术、技术人才。</w:t>
      </w:r>
    </w:p>
    <w:p>
      <w:pPr>
        <w:keepNext w:val="0"/>
        <w:keepLines w:val="0"/>
        <w:widowControl/>
        <w:suppressLineNumbers w:val="0"/>
        <w:ind w:firstLine="420" w:firstLineChars="200"/>
        <w:jc w:val="left"/>
        <w:rPr>
          <w:rFonts w:ascii="宋体" w:cs="宋体"/>
          <w:kern w:val="0"/>
          <w:szCs w:val="21"/>
        </w:rPr>
      </w:pPr>
    </w:p>
    <w:p>
      <w:pPr>
        <w:numPr>
          <w:ilvl w:val="0"/>
          <w:numId w:val="2"/>
        </w:numPr>
        <w:spacing w:line="360" w:lineRule="auto"/>
        <w:rPr>
          <w:rFonts w:hint="eastAsia" w:ascii="黑体" w:hAnsi="宋体" w:eastAsia="黑体"/>
          <w:sz w:val="28"/>
          <w:lang w:eastAsia="zh-CN"/>
        </w:rPr>
      </w:pPr>
      <w:r>
        <w:rPr>
          <w:rFonts w:hint="eastAsia" w:ascii="黑体" w:hAnsi="宋体" w:eastAsia="黑体"/>
          <w:sz w:val="28"/>
        </w:rPr>
        <w:t>课程设置</w:t>
      </w:r>
      <w:r>
        <w:rPr>
          <w:rFonts w:hint="eastAsia" w:ascii="黑体" w:hAnsi="宋体" w:eastAsia="黑体"/>
          <w:sz w:val="28"/>
          <w:lang w:eastAsia="zh-CN"/>
        </w:rPr>
        <w:t>及学分要求</w:t>
      </w:r>
    </w:p>
    <w:p>
      <w:pPr>
        <w:snapToGrid w:val="0"/>
        <w:spacing w:line="360" w:lineRule="auto"/>
        <w:ind w:firstLine="420" w:firstLineChars="200"/>
        <w:rPr>
          <w:rFonts w:hint="eastAsia" w:ascii="宋体" w:cs="宋体"/>
          <w:kern w:val="0"/>
          <w:szCs w:val="21"/>
        </w:rPr>
      </w:pPr>
      <w:bookmarkStart w:id="1" w:name="OLE_LINK1"/>
      <w:r>
        <w:rPr>
          <w:rFonts w:hint="eastAsia" w:ascii="宋体" w:cs="宋体"/>
          <w:kern w:val="0"/>
          <w:szCs w:val="21"/>
        </w:rPr>
        <w:t>课程学习实行学分制，规定18学时为1学分。</w:t>
      </w:r>
    </w:p>
    <w:p>
      <w:pPr>
        <w:snapToGrid w:val="0"/>
        <w:spacing w:line="360" w:lineRule="auto"/>
        <w:ind w:firstLine="420" w:firstLineChars="200"/>
        <w:rPr>
          <w:rFonts w:hint="eastAsia" w:ascii="宋体" w:cs="宋体"/>
          <w:color w:val="FF0000"/>
          <w:kern w:val="0"/>
          <w:szCs w:val="21"/>
          <w:u w:val="single"/>
        </w:rPr>
      </w:pPr>
      <w:r>
        <w:rPr>
          <w:rFonts w:hint="eastAsia" w:ascii="宋体" w:cs="宋体"/>
          <w:kern w:val="0"/>
          <w:szCs w:val="21"/>
        </w:rPr>
        <w:t>博士研究生课程总学分</w:t>
      </w:r>
      <w:r>
        <w:rPr>
          <w:rFonts w:hint="eastAsia" w:ascii="宋体" w:cs="宋体"/>
          <w:kern w:val="0"/>
          <w:szCs w:val="21"/>
          <w:lang w:val="en-US" w:eastAsia="zh-CN"/>
        </w:rPr>
        <w:t>20</w:t>
      </w:r>
      <w:r>
        <w:rPr>
          <w:rFonts w:hint="eastAsia" w:ascii="宋体" w:cs="宋体"/>
          <w:kern w:val="0"/>
          <w:szCs w:val="21"/>
        </w:rPr>
        <w:t>学分，课程包括公共课（含公共基础课、公共选修课）、专业必修课和专业选修课三个模块。其中，公共基础课、专业必修课为必修课程。</w:t>
      </w:r>
    </w:p>
    <w:p>
      <w:pPr>
        <w:numPr>
          <w:ilvl w:val="0"/>
          <w:numId w:val="3"/>
        </w:numPr>
        <w:spacing w:before="156" w:beforeLines="50" w:after="156" w:afterLines="50" w:line="480" w:lineRule="exact"/>
        <w:rPr>
          <w:rFonts w:ascii="宋体" w:cs="宋体"/>
          <w:b/>
          <w:bCs/>
          <w:color w:val="000000"/>
          <w:kern w:val="0"/>
          <w:sz w:val="24"/>
        </w:rPr>
      </w:pPr>
      <w:r>
        <w:rPr>
          <w:rFonts w:hint="eastAsia" w:ascii="宋体" w:cs="宋体"/>
          <w:b/>
          <w:bCs/>
          <w:color w:val="000000"/>
          <w:kern w:val="0"/>
          <w:sz w:val="24"/>
        </w:rPr>
        <w:t>公共课</w:t>
      </w:r>
    </w:p>
    <w:p>
      <w:pPr>
        <w:numPr>
          <w:ilvl w:val="0"/>
          <w:numId w:val="4"/>
        </w:numPr>
        <w:spacing w:before="156" w:beforeLines="50" w:after="156" w:afterLines="50" w:line="480" w:lineRule="exact"/>
        <w:rPr>
          <w:rFonts w:ascii="宋体" w:cs="宋体"/>
          <w:b/>
          <w:bCs/>
          <w:color w:val="000000"/>
          <w:kern w:val="0"/>
          <w:sz w:val="24"/>
        </w:rPr>
      </w:pPr>
      <w:r>
        <w:rPr>
          <w:rFonts w:hint="eastAsia" w:ascii="宋体" w:cs="宋体"/>
          <w:b/>
          <w:bCs/>
          <w:color w:val="000000"/>
          <w:kern w:val="0"/>
          <w:sz w:val="24"/>
        </w:rPr>
        <w:t>公共基础课  6学分</w:t>
      </w:r>
    </w:p>
    <w:p>
      <w:pPr>
        <w:snapToGrid w:val="0"/>
        <w:spacing w:line="360" w:lineRule="auto"/>
        <w:ind w:firstLine="420" w:firstLineChars="200"/>
        <w:rPr>
          <w:rFonts w:hint="eastAsia" w:ascii="宋体" w:cs="宋体"/>
          <w:kern w:val="0"/>
          <w:szCs w:val="21"/>
        </w:rPr>
      </w:pPr>
      <w:r>
        <w:rPr>
          <w:rFonts w:hint="eastAsia" w:ascii="宋体" w:cs="宋体"/>
          <w:kern w:val="0"/>
          <w:szCs w:val="21"/>
        </w:rPr>
        <w:t>根据教育部的有关规定设置，并按国家制订的教学大纲或教学要求进行教学。包括思想政治理论课和外语课两类。</w:t>
      </w:r>
    </w:p>
    <w:p>
      <w:pPr>
        <w:snapToGrid w:val="0"/>
        <w:spacing w:line="360" w:lineRule="auto"/>
        <w:ind w:firstLine="420" w:firstLineChars="200"/>
        <w:rPr>
          <w:rFonts w:hint="eastAsia" w:ascii="宋体" w:cs="宋体"/>
          <w:kern w:val="0"/>
          <w:szCs w:val="21"/>
        </w:rPr>
      </w:pPr>
      <w:r>
        <w:rPr>
          <w:rFonts w:hint="eastAsia" w:ascii="宋体" w:cs="宋体"/>
          <w:kern w:val="0"/>
          <w:szCs w:val="21"/>
        </w:rPr>
        <w:t>（1）思想政治理论课：“中国马克思主义与当代”，2学分。</w:t>
      </w:r>
    </w:p>
    <w:p>
      <w:pPr>
        <w:snapToGrid w:val="0"/>
        <w:spacing w:line="360" w:lineRule="auto"/>
        <w:ind w:firstLine="420" w:firstLineChars="200"/>
        <w:rPr>
          <w:rFonts w:hint="eastAsia" w:ascii="宋体" w:cs="宋体"/>
          <w:kern w:val="0"/>
          <w:szCs w:val="21"/>
        </w:rPr>
      </w:pPr>
      <w:r>
        <w:rPr>
          <w:rFonts w:hint="eastAsia" w:ascii="宋体" w:cs="宋体"/>
          <w:kern w:val="0"/>
          <w:szCs w:val="21"/>
        </w:rPr>
        <w:t>思想政治理论课要求坚决贯彻执行理论联系实际的方针，加强教学的针对性，帮助研究生切实解决好根本的政治方向和政治原则问题，树立马克思主义世界观，并用以观察社会问题、分析社会思潮及指导科学研究。</w:t>
      </w:r>
    </w:p>
    <w:p>
      <w:pPr>
        <w:snapToGrid w:val="0"/>
        <w:spacing w:line="360" w:lineRule="auto"/>
        <w:ind w:firstLine="420" w:firstLineChars="200"/>
        <w:rPr>
          <w:rFonts w:hint="eastAsia" w:ascii="宋体" w:cs="宋体"/>
          <w:kern w:val="0"/>
          <w:szCs w:val="21"/>
        </w:rPr>
      </w:pPr>
      <w:r>
        <w:rPr>
          <w:rFonts w:hint="eastAsia" w:ascii="宋体" w:cs="宋体"/>
          <w:kern w:val="0"/>
          <w:szCs w:val="21"/>
        </w:rPr>
        <w:t>（2）外语课：4学分。</w:t>
      </w:r>
    </w:p>
    <w:p>
      <w:pPr>
        <w:spacing w:before="156" w:beforeLines="50" w:after="156" w:afterLines="50" w:line="480" w:lineRule="exact"/>
        <w:ind w:firstLine="482" w:firstLineChars="200"/>
        <w:rPr>
          <w:rFonts w:ascii="宋体" w:cs="宋体"/>
          <w:b/>
          <w:bCs/>
          <w:color w:val="000000"/>
          <w:kern w:val="0"/>
          <w:sz w:val="24"/>
        </w:rPr>
      </w:pPr>
      <w:r>
        <w:rPr>
          <w:rFonts w:hint="eastAsia" w:ascii="宋体" w:cs="宋体"/>
          <w:b/>
          <w:bCs/>
          <w:color w:val="000000"/>
          <w:kern w:val="0"/>
          <w:sz w:val="24"/>
        </w:rPr>
        <w:t>2</w:t>
      </w:r>
      <w:r>
        <w:rPr>
          <w:rFonts w:ascii="宋体" w:cs="宋体"/>
          <w:b/>
          <w:bCs/>
          <w:color w:val="000000"/>
          <w:kern w:val="0"/>
          <w:sz w:val="24"/>
        </w:rPr>
        <w:t xml:space="preserve">. </w:t>
      </w:r>
      <w:r>
        <w:rPr>
          <w:rFonts w:hint="eastAsia" w:ascii="宋体" w:cs="宋体"/>
          <w:b/>
          <w:bCs/>
          <w:color w:val="000000"/>
          <w:kern w:val="0"/>
          <w:sz w:val="24"/>
        </w:rPr>
        <w:t xml:space="preserve">公共选修课  </w:t>
      </w:r>
      <w:r>
        <w:rPr>
          <w:rFonts w:ascii="宋体" w:cs="宋体"/>
          <w:b/>
          <w:bCs/>
          <w:color w:val="000000"/>
          <w:kern w:val="0"/>
          <w:sz w:val="24"/>
        </w:rPr>
        <w:t>2</w:t>
      </w:r>
      <w:r>
        <w:rPr>
          <w:rFonts w:hint="eastAsia" w:ascii="宋体" w:cs="宋体"/>
          <w:b/>
          <w:bCs/>
          <w:color w:val="000000"/>
          <w:kern w:val="0"/>
          <w:sz w:val="24"/>
        </w:rPr>
        <w:t>学分</w:t>
      </w:r>
    </w:p>
    <w:p>
      <w:pPr>
        <w:snapToGrid w:val="0"/>
        <w:spacing w:line="360" w:lineRule="auto"/>
        <w:ind w:firstLine="420" w:firstLineChars="200"/>
        <w:rPr>
          <w:rFonts w:hint="eastAsia" w:ascii="宋体" w:cs="宋体"/>
          <w:kern w:val="0"/>
          <w:szCs w:val="21"/>
        </w:rPr>
      </w:pPr>
      <w:r>
        <w:rPr>
          <w:rFonts w:hint="eastAsia" w:ascii="宋体" w:cs="宋体"/>
          <w:kern w:val="0"/>
          <w:szCs w:val="21"/>
        </w:rPr>
        <w:t>“学术道德与学术规范”，1学分，所有博士研究生必选；</w:t>
      </w:r>
    </w:p>
    <w:p>
      <w:pPr>
        <w:snapToGrid w:val="0"/>
        <w:spacing w:line="360" w:lineRule="auto"/>
        <w:ind w:firstLine="420" w:firstLineChars="200"/>
        <w:rPr>
          <w:rFonts w:hint="eastAsia" w:ascii="宋体" w:cs="宋体"/>
          <w:kern w:val="0"/>
          <w:szCs w:val="21"/>
        </w:rPr>
      </w:pPr>
      <w:r>
        <w:rPr>
          <w:rFonts w:hint="eastAsia" w:ascii="宋体" w:cs="宋体"/>
          <w:kern w:val="0"/>
          <w:szCs w:val="21"/>
        </w:rPr>
        <w:t>“学术论文写作”，1学分，所有博士研究生必选。</w:t>
      </w:r>
    </w:p>
    <w:p>
      <w:pPr>
        <w:spacing w:before="156" w:beforeLines="50" w:after="156" w:afterLines="50" w:line="480" w:lineRule="exact"/>
        <w:ind w:firstLine="482" w:firstLineChars="200"/>
        <w:rPr>
          <w:rFonts w:ascii="宋体" w:cs="宋体"/>
          <w:b/>
          <w:bCs/>
          <w:color w:val="000000"/>
          <w:kern w:val="0"/>
          <w:sz w:val="24"/>
        </w:rPr>
      </w:pPr>
      <w:r>
        <w:rPr>
          <w:rFonts w:hint="eastAsia" w:ascii="宋体" w:cs="宋体"/>
          <w:b/>
          <w:bCs/>
          <w:color w:val="000000"/>
          <w:kern w:val="0"/>
          <w:sz w:val="24"/>
        </w:rPr>
        <w:t xml:space="preserve">（二）专业必修课 </w:t>
      </w:r>
      <w:r>
        <w:rPr>
          <w:rFonts w:ascii="宋体" w:cs="宋体"/>
          <w:b/>
          <w:bCs/>
          <w:color w:val="000000"/>
          <w:kern w:val="0"/>
          <w:sz w:val="24"/>
        </w:rPr>
        <w:t>3</w:t>
      </w:r>
      <w:r>
        <w:rPr>
          <w:rFonts w:hint="eastAsia" w:ascii="宋体" w:cs="宋体"/>
          <w:b/>
          <w:bCs/>
          <w:color w:val="000000"/>
          <w:kern w:val="0"/>
          <w:sz w:val="24"/>
        </w:rPr>
        <w:t>门，</w:t>
      </w:r>
      <w:r>
        <w:rPr>
          <w:rFonts w:ascii="宋体" w:cs="宋体"/>
          <w:b/>
          <w:bCs/>
          <w:color w:val="000000"/>
          <w:kern w:val="0"/>
          <w:sz w:val="24"/>
        </w:rPr>
        <w:t>8</w:t>
      </w:r>
      <w:r>
        <w:rPr>
          <w:rFonts w:hint="eastAsia" w:ascii="宋体" w:cs="宋体"/>
          <w:b/>
          <w:bCs/>
          <w:color w:val="000000"/>
          <w:kern w:val="0"/>
          <w:sz w:val="24"/>
        </w:rPr>
        <w:t>学分</w:t>
      </w:r>
    </w:p>
    <w:p>
      <w:pPr>
        <w:snapToGrid w:val="0"/>
        <w:spacing w:line="360" w:lineRule="auto"/>
        <w:ind w:firstLine="420" w:firstLineChars="200"/>
        <w:rPr>
          <w:rFonts w:hint="eastAsia" w:ascii="宋体" w:cs="宋体"/>
          <w:color w:val="FF0000"/>
          <w:kern w:val="0"/>
          <w:szCs w:val="21"/>
          <w:u w:val="single"/>
        </w:rPr>
      </w:pPr>
      <w:r>
        <w:rPr>
          <w:rFonts w:hint="eastAsia" w:ascii="宋体" w:cs="宋体"/>
          <w:kern w:val="0"/>
          <w:szCs w:val="21"/>
        </w:rPr>
        <w:t>3门专业</w:t>
      </w:r>
      <w:r>
        <w:rPr>
          <w:rFonts w:hint="eastAsia" w:ascii="宋体" w:cs="宋体"/>
          <w:kern w:val="0"/>
          <w:szCs w:val="21"/>
          <w:lang w:eastAsia="zh-CN"/>
        </w:rPr>
        <w:t>必修</w:t>
      </w:r>
      <w:r>
        <w:rPr>
          <w:rFonts w:hint="eastAsia" w:ascii="宋体" w:cs="宋体"/>
          <w:kern w:val="0"/>
          <w:szCs w:val="21"/>
        </w:rPr>
        <w:t>课</w:t>
      </w:r>
      <w:r>
        <w:rPr>
          <w:rFonts w:hint="eastAsia" w:ascii="宋体" w:cs="宋体"/>
          <w:kern w:val="0"/>
          <w:szCs w:val="21"/>
          <w:lang w:eastAsia="zh-CN"/>
        </w:rPr>
        <w:t>，</w:t>
      </w:r>
      <w:r>
        <w:rPr>
          <w:rFonts w:hint="eastAsia" w:ascii="宋体" w:cs="宋体"/>
          <w:kern w:val="0"/>
          <w:szCs w:val="21"/>
          <w:lang w:val="en-US" w:eastAsia="zh-CN"/>
        </w:rPr>
        <w:t>8个学分</w:t>
      </w:r>
      <w:r>
        <w:rPr>
          <w:rFonts w:hint="eastAsia" w:ascii="宋体" w:cs="宋体"/>
          <w:kern w:val="0"/>
          <w:szCs w:val="21"/>
        </w:rPr>
        <w:t>。</w:t>
      </w:r>
      <w:r>
        <w:rPr>
          <w:rFonts w:hint="eastAsia" w:ascii="宋体" w:cs="宋体"/>
          <w:kern w:val="0"/>
          <w:szCs w:val="21"/>
          <w:lang w:eastAsia="zh-CN"/>
        </w:rPr>
        <w:t>为第一学期开设。课程名称：泛函分析（</w:t>
      </w:r>
      <w:r>
        <w:rPr>
          <w:rFonts w:hint="eastAsia" w:ascii="宋体" w:cs="宋体"/>
          <w:kern w:val="0"/>
          <w:szCs w:val="21"/>
          <w:lang w:val="en-US" w:eastAsia="zh-CN"/>
        </w:rPr>
        <w:t>3学分</w:t>
      </w:r>
      <w:r>
        <w:rPr>
          <w:rFonts w:hint="eastAsia" w:ascii="宋体" w:cs="宋体"/>
          <w:kern w:val="0"/>
          <w:szCs w:val="21"/>
          <w:lang w:eastAsia="zh-CN"/>
        </w:rPr>
        <w:t>）、代数学（</w:t>
      </w:r>
      <w:r>
        <w:rPr>
          <w:rFonts w:hint="eastAsia" w:ascii="宋体" w:cs="宋体"/>
          <w:kern w:val="0"/>
          <w:szCs w:val="21"/>
          <w:lang w:val="en-US" w:eastAsia="zh-CN"/>
        </w:rPr>
        <w:t>3学分</w:t>
      </w:r>
      <w:r>
        <w:rPr>
          <w:rFonts w:hint="eastAsia" w:ascii="宋体" w:cs="宋体"/>
          <w:kern w:val="0"/>
          <w:szCs w:val="21"/>
          <w:lang w:eastAsia="zh-CN"/>
        </w:rPr>
        <w:t>）、微分方程（</w:t>
      </w:r>
      <w:r>
        <w:rPr>
          <w:rFonts w:hint="eastAsia" w:ascii="宋体" w:cs="宋体"/>
          <w:kern w:val="0"/>
          <w:szCs w:val="21"/>
          <w:lang w:val="en-US" w:eastAsia="zh-CN"/>
        </w:rPr>
        <w:t>2学分</w:t>
      </w:r>
      <w:r>
        <w:rPr>
          <w:rFonts w:hint="eastAsia" w:ascii="宋体" w:cs="宋体"/>
          <w:kern w:val="0"/>
          <w:szCs w:val="21"/>
          <w:lang w:eastAsia="zh-CN"/>
        </w:rPr>
        <w:t>）。</w:t>
      </w:r>
      <w:r>
        <w:rPr>
          <w:rFonts w:hint="eastAsia" w:ascii="宋体" w:cs="宋体"/>
          <w:kern w:val="0"/>
          <w:szCs w:val="21"/>
        </w:rPr>
        <w:t>课程设置包括三个方面：一是拓宽专业基础需要的基础理论课和实验课；二是为进入学科前沿或结合研究课题需要的理论专著、文献专著等课程；三是适应学科交叉、学习有关跨学科的课程。</w:t>
      </w:r>
    </w:p>
    <w:p>
      <w:pPr>
        <w:spacing w:before="156" w:beforeLines="50" w:after="156" w:afterLines="50" w:line="480" w:lineRule="exact"/>
        <w:ind w:firstLine="482" w:firstLineChars="200"/>
        <w:rPr>
          <w:rFonts w:ascii="宋体" w:cs="宋体"/>
          <w:b/>
          <w:bCs/>
          <w:color w:val="000000"/>
          <w:kern w:val="0"/>
          <w:sz w:val="24"/>
        </w:rPr>
      </w:pPr>
      <w:r>
        <w:rPr>
          <w:rFonts w:hint="eastAsia" w:ascii="宋体" w:cs="宋体"/>
          <w:b/>
          <w:bCs/>
          <w:color w:val="000000"/>
          <w:kern w:val="0"/>
          <w:sz w:val="24"/>
        </w:rPr>
        <w:t xml:space="preserve">（三）专业选修课 </w:t>
      </w:r>
      <w:r>
        <w:rPr>
          <w:rFonts w:ascii="宋体" w:cs="宋体"/>
          <w:b/>
          <w:bCs/>
          <w:color w:val="000000"/>
          <w:kern w:val="0"/>
          <w:sz w:val="24"/>
        </w:rPr>
        <w:t>2</w:t>
      </w:r>
      <w:r>
        <w:rPr>
          <w:rFonts w:hint="eastAsia" w:ascii="宋体" w:cs="宋体"/>
          <w:b/>
          <w:bCs/>
          <w:color w:val="000000"/>
          <w:kern w:val="0"/>
          <w:sz w:val="24"/>
        </w:rPr>
        <w:t>学分</w:t>
      </w:r>
    </w:p>
    <w:p>
      <w:pPr>
        <w:snapToGrid w:val="0"/>
        <w:spacing w:line="360" w:lineRule="auto"/>
        <w:ind w:firstLine="420" w:firstLineChars="200"/>
        <w:rPr>
          <w:rFonts w:hint="eastAsia" w:ascii="宋体" w:eastAsia="宋体" w:cs="宋体"/>
          <w:kern w:val="0"/>
          <w:szCs w:val="21"/>
          <w:lang w:eastAsia="zh-CN"/>
        </w:rPr>
      </w:pPr>
      <w:r>
        <w:rPr>
          <w:rFonts w:hint="eastAsia" w:ascii="宋体" w:cs="宋体"/>
          <w:kern w:val="0"/>
          <w:szCs w:val="21"/>
        </w:rPr>
        <w:t>选修课在第二学期开设，学生在开设的选修课中任选1门，每门</w:t>
      </w:r>
      <w:r>
        <w:rPr>
          <w:rFonts w:ascii="宋体" w:cs="宋体"/>
          <w:kern w:val="0"/>
          <w:szCs w:val="21"/>
        </w:rPr>
        <w:t>2</w:t>
      </w:r>
      <w:r>
        <w:rPr>
          <w:rFonts w:hint="eastAsia" w:ascii="宋体" w:cs="宋体"/>
          <w:kern w:val="0"/>
          <w:szCs w:val="21"/>
        </w:rPr>
        <w:t>学分，共2学分</w:t>
      </w:r>
      <w:r>
        <w:rPr>
          <w:rFonts w:hint="eastAsia" w:ascii="宋体" w:cs="宋体"/>
          <w:kern w:val="0"/>
          <w:szCs w:val="21"/>
          <w:lang w:eastAsia="zh-CN"/>
        </w:rPr>
        <w:t>。</w:t>
      </w:r>
    </w:p>
    <w:p>
      <w:pPr>
        <w:snapToGrid w:val="0"/>
        <w:spacing w:line="360" w:lineRule="auto"/>
        <w:ind w:firstLine="420" w:firstLineChars="200"/>
        <w:rPr>
          <w:rFonts w:hint="eastAsia" w:ascii="宋体" w:cs="宋体"/>
          <w:kern w:val="0"/>
          <w:szCs w:val="21"/>
        </w:rPr>
      </w:pPr>
      <w:r>
        <w:rPr>
          <w:rFonts w:hint="eastAsia" w:ascii="宋体" w:cs="宋体"/>
          <w:kern w:val="0"/>
          <w:szCs w:val="21"/>
        </w:rPr>
        <w:t>直博生须补修本学科硕士研究生课程（非公共课）不少于16学分。</w:t>
      </w:r>
    </w:p>
    <w:bookmarkEnd w:id="1"/>
    <w:p>
      <w:pPr>
        <w:spacing w:before="156" w:beforeLines="50" w:after="156" w:afterLines="50" w:line="480" w:lineRule="exact"/>
        <w:ind w:firstLine="560" w:firstLineChars="200"/>
        <w:rPr>
          <w:rFonts w:eastAsia="黑体"/>
          <w:sz w:val="28"/>
          <w:szCs w:val="28"/>
        </w:rPr>
      </w:pPr>
      <w:r>
        <w:rPr>
          <w:rFonts w:hint="eastAsia" w:ascii="黑体" w:hAnsi="宋体" w:eastAsia="黑体"/>
          <w:sz w:val="28"/>
        </w:rPr>
        <w:t>五、</w:t>
      </w:r>
      <w:r>
        <w:rPr>
          <w:rFonts w:hint="eastAsia" w:ascii="黑体" w:hAnsi="黑体" w:eastAsia="黑体" w:cs="宋体"/>
          <w:color w:val="000000"/>
          <w:kern w:val="0"/>
          <w:sz w:val="28"/>
          <w:szCs w:val="28"/>
        </w:rPr>
        <w:t>教学实践与科研实践</w:t>
      </w:r>
    </w:p>
    <w:p>
      <w:pPr>
        <w:snapToGrid w:val="0"/>
        <w:spacing w:line="360" w:lineRule="auto"/>
        <w:ind w:firstLine="420" w:firstLineChars="200"/>
        <w:rPr>
          <w:rFonts w:hint="eastAsia" w:ascii="宋体" w:cs="宋体"/>
          <w:kern w:val="0"/>
          <w:szCs w:val="21"/>
        </w:rPr>
      </w:pPr>
      <w:r>
        <w:rPr>
          <w:rFonts w:hint="eastAsia" w:ascii="宋体" w:cs="宋体"/>
          <w:kern w:val="0"/>
          <w:szCs w:val="21"/>
        </w:rPr>
        <w:t>博士研究生在学期间必须参加相应的</w:t>
      </w:r>
      <w:r>
        <w:rPr>
          <w:rFonts w:hint="eastAsia" w:ascii="宋体" w:cs="宋体"/>
          <w:kern w:val="0"/>
          <w:szCs w:val="21"/>
          <w:lang w:eastAsia="zh-CN"/>
        </w:rPr>
        <w:t>教学</w:t>
      </w:r>
      <w:r>
        <w:rPr>
          <w:rFonts w:hint="eastAsia" w:ascii="宋体" w:cs="宋体"/>
          <w:kern w:val="0"/>
          <w:szCs w:val="21"/>
        </w:rPr>
        <w:t>实践和</w:t>
      </w:r>
      <w:r>
        <w:rPr>
          <w:rFonts w:hint="eastAsia" w:ascii="宋体" w:cs="宋体"/>
          <w:kern w:val="0"/>
          <w:szCs w:val="21"/>
          <w:lang w:eastAsia="zh-CN"/>
        </w:rPr>
        <w:t>科研实践</w:t>
      </w:r>
      <w:r>
        <w:rPr>
          <w:rFonts w:hint="eastAsia" w:ascii="宋体" w:cs="宋体"/>
          <w:kern w:val="0"/>
          <w:szCs w:val="21"/>
        </w:rPr>
        <w:t>。</w:t>
      </w:r>
    </w:p>
    <w:p>
      <w:pPr>
        <w:snapToGrid w:val="0"/>
        <w:spacing w:line="360" w:lineRule="auto"/>
        <w:ind w:firstLine="420" w:firstLineChars="200"/>
        <w:rPr>
          <w:rFonts w:hint="eastAsia" w:ascii="宋体" w:cs="宋体"/>
          <w:kern w:val="0"/>
          <w:szCs w:val="21"/>
        </w:rPr>
      </w:pPr>
      <w:r>
        <w:rPr>
          <w:rFonts w:hint="eastAsia" w:ascii="宋体" w:cs="宋体"/>
          <w:kern w:val="0"/>
          <w:szCs w:val="21"/>
        </w:rPr>
        <w:t>教学实践、科研实践经考核合格者，分别记1学分。</w:t>
      </w:r>
    </w:p>
    <w:p>
      <w:pPr>
        <w:snapToGrid w:val="0"/>
        <w:spacing w:line="360" w:lineRule="auto"/>
        <w:ind w:firstLine="420" w:firstLineChars="200"/>
        <w:rPr>
          <w:rFonts w:ascii="宋体" w:cs="宋体"/>
          <w:kern w:val="0"/>
          <w:szCs w:val="21"/>
        </w:rPr>
      </w:pPr>
      <w:r>
        <w:rPr>
          <w:rFonts w:ascii="宋体" w:cs="宋体"/>
          <w:kern w:val="0"/>
          <w:szCs w:val="21"/>
        </w:rPr>
        <w:t>1.</w:t>
      </w:r>
      <w:r>
        <w:rPr>
          <w:rFonts w:hint="eastAsia" w:ascii="宋体" w:cs="宋体"/>
          <w:kern w:val="0"/>
          <w:szCs w:val="21"/>
          <w:lang w:eastAsia="zh-CN"/>
        </w:rPr>
        <w:t>教学</w:t>
      </w:r>
      <w:r>
        <w:rPr>
          <w:rFonts w:hint="eastAsia" w:ascii="宋体" w:cs="宋体"/>
          <w:kern w:val="0"/>
          <w:szCs w:val="21"/>
        </w:rPr>
        <w:t>实践：</w:t>
      </w:r>
    </w:p>
    <w:p>
      <w:pPr>
        <w:snapToGrid w:val="0"/>
        <w:spacing w:line="360" w:lineRule="auto"/>
        <w:ind w:firstLine="420" w:firstLineChars="200"/>
        <w:rPr>
          <w:rFonts w:ascii="宋体" w:cs="宋体"/>
          <w:kern w:val="0"/>
          <w:szCs w:val="21"/>
        </w:rPr>
      </w:pPr>
      <w:r>
        <w:rPr>
          <w:rFonts w:hint="eastAsia" w:ascii="宋体" w:cs="宋体"/>
          <w:kern w:val="0"/>
          <w:szCs w:val="21"/>
        </w:rPr>
        <w:t>博士研究生在学期间须完成一学期的助教工作；</w:t>
      </w:r>
      <w:r>
        <w:rPr>
          <w:rFonts w:hint="eastAsia" w:ascii="宋体" w:cs="宋体"/>
          <w:kern w:val="0"/>
          <w:szCs w:val="21"/>
          <w:lang w:eastAsia="zh-CN"/>
        </w:rPr>
        <w:t>或</w:t>
      </w:r>
      <w:r>
        <w:rPr>
          <w:rFonts w:hint="eastAsia" w:ascii="宋体" w:cs="宋体"/>
          <w:kern w:val="0"/>
          <w:szCs w:val="21"/>
        </w:rPr>
        <w:t>协助导师指导本科生科研训练、硕士研究生论文等。实践结束后由导师和导师小组按照相关规定进行考核，经考核合格方可获得1学分，否则不能参加答辩。</w:t>
      </w:r>
    </w:p>
    <w:p>
      <w:pPr>
        <w:snapToGrid w:val="0"/>
        <w:spacing w:line="360" w:lineRule="auto"/>
        <w:ind w:firstLine="420" w:firstLineChars="200"/>
        <w:rPr>
          <w:rFonts w:ascii="宋体" w:cs="宋体"/>
          <w:kern w:val="0"/>
          <w:szCs w:val="21"/>
        </w:rPr>
      </w:pPr>
      <w:r>
        <w:rPr>
          <w:rFonts w:ascii="宋体" w:cs="宋体"/>
          <w:kern w:val="0"/>
          <w:szCs w:val="21"/>
        </w:rPr>
        <w:t>2.</w:t>
      </w:r>
      <w:r>
        <w:rPr>
          <w:rFonts w:hint="eastAsia" w:ascii="宋体" w:cs="宋体"/>
          <w:kern w:val="0"/>
          <w:szCs w:val="21"/>
          <w:lang w:eastAsia="zh-CN"/>
        </w:rPr>
        <w:t>科研实践</w:t>
      </w:r>
      <w:r>
        <w:rPr>
          <w:rFonts w:hint="eastAsia" w:ascii="宋体" w:cs="宋体"/>
          <w:kern w:val="0"/>
          <w:szCs w:val="21"/>
        </w:rPr>
        <w:t>：</w:t>
      </w:r>
    </w:p>
    <w:p>
      <w:pPr>
        <w:snapToGrid w:val="0"/>
        <w:spacing w:line="360" w:lineRule="auto"/>
        <w:ind w:firstLine="420" w:firstLineChars="200"/>
        <w:rPr>
          <w:rFonts w:hint="eastAsia" w:ascii="宋体" w:cs="宋体"/>
          <w:kern w:val="0"/>
          <w:szCs w:val="21"/>
        </w:rPr>
      </w:pPr>
      <w:r>
        <w:rPr>
          <w:rFonts w:hint="eastAsia" w:ascii="宋体" w:cs="宋体"/>
          <w:kern w:val="0"/>
          <w:szCs w:val="21"/>
        </w:rPr>
        <w:t>博士生在学期间应定期参加导师课题组的学术研讨会，每学期参加不少于8次的</w:t>
      </w:r>
      <w:r>
        <w:rPr>
          <w:rFonts w:hint="eastAsia" w:ascii="宋体" w:cs="宋体"/>
          <w:kern w:val="0"/>
          <w:szCs w:val="21"/>
          <w:lang w:eastAsia="zh-CN"/>
        </w:rPr>
        <w:t>讨论班、</w:t>
      </w:r>
      <w:r>
        <w:rPr>
          <w:rFonts w:hint="eastAsia" w:ascii="宋体" w:cs="宋体"/>
          <w:kern w:val="0"/>
          <w:szCs w:val="21"/>
        </w:rPr>
        <w:t>学术报告</w:t>
      </w:r>
      <w:r>
        <w:rPr>
          <w:rFonts w:hint="eastAsia" w:ascii="宋体" w:cs="宋体"/>
          <w:kern w:val="0"/>
          <w:szCs w:val="21"/>
          <w:lang w:eastAsia="zh-CN"/>
        </w:rPr>
        <w:t>、或学术会议等</w:t>
      </w:r>
      <w:r>
        <w:rPr>
          <w:rFonts w:hint="eastAsia" w:ascii="宋体" w:cs="宋体"/>
          <w:kern w:val="0"/>
          <w:szCs w:val="21"/>
        </w:rPr>
        <w:t>活动，其中包括不少于2次的本人在课题组讨论班或学术报告会上做报告。考核方法为：每</w:t>
      </w:r>
      <w:r>
        <w:rPr>
          <w:rFonts w:hint="eastAsia" w:ascii="宋体" w:cs="宋体"/>
          <w:kern w:val="0"/>
          <w:szCs w:val="21"/>
          <w:lang w:eastAsia="zh-CN"/>
        </w:rPr>
        <w:t>学期末</w:t>
      </w:r>
      <w:r>
        <w:rPr>
          <w:rFonts w:hint="eastAsia" w:ascii="宋体" w:cs="宋体"/>
          <w:kern w:val="0"/>
          <w:szCs w:val="21"/>
        </w:rPr>
        <w:t>填写“博士生参加学术活动记录表”，并写不少于1000字的学术总结，经导师签字后自己留存。在申请论文答辩前由学院研究生秘书汇总后报研究生院。博士生完成规定的学术活动，经考核合格可获得1学分；考核不合格者，不能参加答辩。</w:t>
      </w:r>
    </w:p>
    <w:p>
      <w:pPr>
        <w:snapToGrid w:val="0"/>
        <w:spacing w:line="360" w:lineRule="auto"/>
        <w:ind w:firstLine="420" w:firstLineChars="200"/>
        <w:rPr>
          <w:rFonts w:hint="eastAsia" w:ascii="宋体" w:cs="宋体"/>
          <w:kern w:val="0"/>
          <w:szCs w:val="21"/>
        </w:rPr>
      </w:pPr>
    </w:p>
    <w:p>
      <w:pPr>
        <w:snapToGrid w:val="0"/>
        <w:spacing w:line="360" w:lineRule="auto"/>
        <w:rPr>
          <w:rFonts w:hint="eastAsia" w:ascii="宋体" w:eastAsia="黑体" w:cs="宋体"/>
          <w:kern w:val="0"/>
          <w:szCs w:val="21"/>
          <w:lang w:eastAsia="zh-CN"/>
        </w:rPr>
      </w:pPr>
      <w:r>
        <w:rPr>
          <w:rFonts w:hint="eastAsia" w:ascii="黑体" w:hAnsi="宋体" w:eastAsia="黑体"/>
          <w:sz w:val="28"/>
        </w:rPr>
        <w:t>六、</w:t>
      </w:r>
      <w:r>
        <w:rPr>
          <w:rFonts w:hint="eastAsia" w:ascii="黑体" w:hAnsi="宋体" w:eastAsia="黑体"/>
          <w:sz w:val="28"/>
          <w:lang w:eastAsia="zh-CN"/>
        </w:rPr>
        <w:t>中期考核</w:t>
      </w:r>
    </w:p>
    <w:p>
      <w:pPr>
        <w:snapToGrid w:val="0"/>
        <w:spacing w:line="360" w:lineRule="auto"/>
        <w:ind w:firstLine="420" w:firstLineChars="200"/>
        <w:rPr>
          <w:rFonts w:hint="eastAsia" w:ascii="宋体" w:cs="宋体"/>
          <w:kern w:val="0"/>
          <w:szCs w:val="21"/>
        </w:rPr>
      </w:pPr>
      <w:r>
        <w:rPr>
          <w:rFonts w:hint="eastAsia" w:ascii="宋体" w:cs="宋体"/>
          <w:kern w:val="0"/>
          <w:szCs w:val="21"/>
        </w:rPr>
        <w:t>中期考核应在基本学制内完成。其他规定详见《山西大学研究生中期考核及分流淘汰管理办法（试行）》。</w:t>
      </w:r>
    </w:p>
    <w:p>
      <w:pPr>
        <w:snapToGrid w:val="0"/>
        <w:spacing w:line="360" w:lineRule="auto"/>
        <w:ind w:firstLine="420" w:firstLineChars="200"/>
        <w:rPr>
          <w:rFonts w:ascii="宋体" w:cs="宋体"/>
          <w:kern w:val="0"/>
          <w:szCs w:val="21"/>
        </w:rPr>
      </w:pPr>
      <w:r>
        <w:rPr>
          <w:rFonts w:hint="eastAsia" w:ascii="宋体" w:cs="宋体"/>
          <w:kern w:val="0"/>
          <w:szCs w:val="21"/>
        </w:rPr>
        <w:t>博士研究生中期考核是博士研究生培养的重要环节，是在博士生课程学习基本结束之后，对其入学以来政治思想表现、课程学习情况以及论文工作进展情况等方面进行一次综合考核和评定，确定其是否具有继续攻读博士学位的资格。</w:t>
      </w:r>
    </w:p>
    <w:p>
      <w:pPr>
        <w:snapToGrid w:val="0"/>
        <w:spacing w:line="360" w:lineRule="auto"/>
        <w:ind w:firstLine="420" w:firstLineChars="200"/>
        <w:rPr>
          <w:rFonts w:hint="eastAsia" w:ascii="宋体" w:cs="宋体"/>
          <w:kern w:val="0"/>
          <w:szCs w:val="21"/>
        </w:rPr>
      </w:pPr>
      <w:r>
        <w:rPr>
          <w:rFonts w:hint="eastAsia" w:ascii="宋体" w:cs="宋体"/>
          <w:kern w:val="0"/>
          <w:szCs w:val="21"/>
        </w:rPr>
        <w:t>中期考核时间一般安排在博士生入学后的第四学期末进行，中期考核小组成员由本专业或相关专业的5名以上教授或相应技术职务的专家组成。中期考核通过者，准予继续进行论文工作；不合格者可于3个月后向学院申请第二次考核，两次考核均未通过的，将终止攻读博士学位。</w:t>
      </w:r>
    </w:p>
    <w:p>
      <w:pPr>
        <w:numPr>
          <w:ilvl w:val="0"/>
          <w:numId w:val="0"/>
        </w:numPr>
        <w:spacing w:line="360" w:lineRule="auto"/>
        <w:ind w:leftChars="0"/>
        <w:rPr>
          <w:rFonts w:hint="eastAsia" w:ascii="黑体" w:hAnsi="宋体" w:eastAsia="黑体"/>
          <w:sz w:val="28"/>
        </w:rPr>
      </w:pPr>
      <w:r>
        <w:rPr>
          <w:rFonts w:hint="eastAsia" w:ascii="黑体" w:hAnsi="宋体" w:eastAsia="黑体"/>
          <w:sz w:val="28"/>
          <w:lang w:eastAsia="zh-CN"/>
        </w:rPr>
        <w:t>七、</w:t>
      </w:r>
      <w:r>
        <w:rPr>
          <w:rFonts w:hint="eastAsia" w:ascii="黑体" w:hAnsi="宋体" w:eastAsia="黑体"/>
          <w:sz w:val="28"/>
        </w:rPr>
        <w:t>学位论文</w:t>
      </w:r>
    </w:p>
    <w:p>
      <w:pPr>
        <w:snapToGrid w:val="0"/>
        <w:spacing w:line="360" w:lineRule="auto"/>
        <w:ind w:firstLine="420" w:firstLineChars="200"/>
        <w:rPr>
          <w:rFonts w:ascii="宋体" w:cs="宋体"/>
          <w:kern w:val="0"/>
          <w:szCs w:val="21"/>
        </w:rPr>
      </w:pPr>
      <w:r>
        <w:rPr>
          <w:rFonts w:hint="eastAsia" w:ascii="宋体" w:cs="宋体"/>
          <w:kern w:val="0"/>
          <w:szCs w:val="21"/>
        </w:rPr>
        <w:t>博士学位论文是综合衡量博士研究生培养质量和学术水平的重要标志，应在博士研究生指导教师指导下由博士研究生独立完成。博士研究生从事科学研究和撰写学位论文的时间应不少于两年。研究生的学位论文应是系统、完整的学术论文。</w:t>
      </w:r>
    </w:p>
    <w:p>
      <w:pPr>
        <w:snapToGrid w:val="0"/>
        <w:spacing w:line="360" w:lineRule="auto"/>
        <w:ind w:firstLine="420" w:firstLineChars="200"/>
        <w:rPr>
          <w:rFonts w:ascii="宋体" w:cs="宋体"/>
          <w:kern w:val="0"/>
          <w:szCs w:val="21"/>
        </w:rPr>
      </w:pPr>
      <w:r>
        <w:rPr>
          <w:rFonts w:hint="eastAsia" w:ascii="宋体" w:cs="宋体"/>
          <w:kern w:val="0"/>
          <w:szCs w:val="21"/>
        </w:rPr>
        <w:t>学位论文及科研成果具体要求为：</w:t>
      </w:r>
    </w:p>
    <w:p>
      <w:pPr>
        <w:snapToGrid w:val="0"/>
        <w:spacing w:line="360" w:lineRule="auto"/>
        <w:ind w:firstLine="420" w:firstLineChars="200"/>
        <w:rPr>
          <w:rFonts w:ascii="宋体" w:cs="宋体"/>
          <w:kern w:val="0"/>
          <w:szCs w:val="21"/>
        </w:rPr>
      </w:pPr>
      <w:r>
        <w:rPr>
          <w:rFonts w:hint="eastAsia" w:ascii="宋体" w:cs="宋体"/>
          <w:kern w:val="0"/>
          <w:szCs w:val="21"/>
        </w:rPr>
        <w:t>1.学位论文选题应在博士研究生指导教师指导下由博士研究生拟定，应跟踪选择学科前沿，对学科或社会发展有较大的理论意义或实践价值。</w:t>
      </w:r>
    </w:p>
    <w:p>
      <w:pPr>
        <w:snapToGrid w:val="0"/>
        <w:spacing w:line="360" w:lineRule="auto"/>
        <w:ind w:firstLine="420" w:firstLineChars="200"/>
        <w:rPr>
          <w:rFonts w:ascii="宋体" w:cs="宋体"/>
          <w:kern w:val="0"/>
          <w:szCs w:val="21"/>
        </w:rPr>
      </w:pPr>
      <w:r>
        <w:rPr>
          <w:rFonts w:hint="eastAsia" w:ascii="宋体" w:cs="宋体"/>
          <w:kern w:val="0"/>
          <w:szCs w:val="21"/>
        </w:rPr>
        <w:t>2.学位论文应在科学或专门技术上做出创造性的学术成果。</w:t>
      </w:r>
    </w:p>
    <w:p>
      <w:pPr>
        <w:snapToGrid w:val="0"/>
        <w:spacing w:line="360" w:lineRule="auto"/>
        <w:ind w:firstLine="420" w:firstLineChars="200"/>
        <w:rPr>
          <w:rFonts w:ascii="宋体" w:cs="宋体"/>
          <w:kern w:val="0"/>
          <w:szCs w:val="21"/>
        </w:rPr>
      </w:pPr>
      <w:r>
        <w:rPr>
          <w:rFonts w:hint="eastAsia" w:ascii="宋体" w:cs="宋体"/>
          <w:kern w:val="0"/>
          <w:szCs w:val="21"/>
        </w:rPr>
        <w:t>3.学位论文应能反映出博士生已掌握坚实宽广的基础理论和系统深入的专门知识、具备了独立从事教学或科学研究工作的能力。</w:t>
      </w:r>
    </w:p>
    <w:p>
      <w:pPr>
        <w:snapToGrid w:val="0"/>
        <w:spacing w:line="360" w:lineRule="auto"/>
        <w:ind w:firstLine="420" w:firstLineChars="200"/>
        <w:rPr>
          <w:rFonts w:ascii="宋体" w:cs="宋体"/>
          <w:kern w:val="0"/>
          <w:szCs w:val="21"/>
        </w:rPr>
      </w:pPr>
      <w:r>
        <w:rPr>
          <w:rFonts w:hint="eastAsia" w:ascii="宋体" w:cs="宋体"/>
          <w:kern w:val="0"/>
          <w:szCs w:val="21"/>
        </w:rPr>
        <w:t>4.学位论文应在导师指导下由博士研究生本人独立完成。</w:t>
      </w:r>
    </w:p>
    <w:p>
      <w:pPr>
        <w:snapToGrid w:val="0"/>
        <w:spacing w:line="360" w:lineRule="auto"/>
        <w:ind w:firstLine="420" w:firstLineChars="200"/>
        <w:rPr>
          <w:rFonts w:ascii="宋体" w:cs="宋体"/>
          <w:kern w:val="0"/>
          <w:szCs w:val="21"/>
        </w:rPr>
      </w:pPr>
      <w:r>
        <w:rPr>
          <w:rFonts w:hint="eastAsia" w:ascii="宋体" w:cs="宋体"/>
          <w:kern w:val="0"/>
          <w:szCs w:val="21"/>
        </w:rPr>
        <w:t>5.学位论文必须提供中英文摘要，必须符合学术规范要求。引用别人的材料，必须注明出处；利用合作者的思想和研究成果时，要加附注。</w:t>
      </w:r>
    </w:p>
    <w:p>
      <w:pPr>
        <w:snapToGrid w:val="0"/>
        <w:spacing w:line="360" w:lineRule="auto"/>
        <w:ind w:firstLine="420" w:firstLineChars="200"/>
        <w:rPr>
          <w:rFonts w:hint="eastAsia" w:ascii="宋体" w:cs="宋体"/>
          <w:color w:val="auto"/>
          <w:kern w:val="0"/>
          <w:szCs w:val="21"/>
          <w:u w:val="none"/>
          <w:lang w:eastAsia="zh-CN"/>
        </w:rPr>
      </w:pPr>
      <w:r>
        <w:rPr>
          <w:rFonts w:hint="eastAsia" w:ascii="宋体" w:cs="宋体"/>
          <w:kern w:val="0"/>
          <w:szCs w:val="21"/>
        </w:rPr>
        <w:t>6.</w:t>
      </w:r>
      <w:r>
        <w:rPr>
          <w:rFonts w:hint="eastAsia" w:ascii="宋体" w:cs="宋体"/>
          <w:color w:val="auto"/>
          <w:kern w:val="0"/>
          <w:szCs w:val="21"/>
          <w:u w:val="none"/>
        </w:rPr>
        <w:t>博士研究生在读期间必须发表与学位论文相关的系列学术论文</w:t>
      </w:r>
      <w:r>
        <w:rPr>
          <w:rFonts w:hint="eastAsia" w:ascii="宋体" w:cs="宋体"/>
          <w:color w:val="auto"/>
          <w:kern w:val="0"/>
          <w:szCs w:val="21"/>
          <w:u w:val="none"/>
          <w:lang w:eastAsia="zh-CN"/>
        </w:rPr>
        <w:t>，要求满足下列条件之一：</w:t>
      </w:r>
    </w:p>
    <w:p>
      <w:pPr>
        <w:snapToGrid w:val="0"/>
        <w:spacing w:line="360" w:lineRule="auto"/>
        <w:ind w:firstLine="420" w:firstLineChars="200"/>
        <w:rPr>
          <w:rFonts w:hint="eastAsia" w:ascii="宋体" w:cs="宋体"/>
          <w:kern w:val="0"/>
          <w:szCs w:val="21"/>
        </w:rPr>
      </w:pPr>
      <w:r>
        <w:rPr>
          <w:rFonts w:hint="eastAsia" w:ascii="宋体" w:cs="宋体"/>
          <w:kern w:val="0"/>
          <w:szCs w:val="21"/>
          <w:lang w:val="en-US" w:eastAsia="zh-CN"/>
        </w:rPr>
        <w:t xml:space="preserve">在SCI分区为1区的国际学术期刊上发表学术论文一篇； </w:t>
      </w:r>
    </w:p>
    <w:p>
      <w:pPr>
        <w:snapToGrid w:val="0"/>
        <w:spacing w:line="360" w:lineRule="auto"/>
        <w:ind w:firstLine="420" w:firstLineChars="200"/>
        <w:rPr>
          <w:rFonts w:hint="eastAsia" w:ascii="宋体" w:cs="宋体"/>
          <w:kern w:val="0"/>
          <w:szCs w:val="21"/>
        </w:rPr>
      </w:pPr>
      <w:r>
        <w:rPr>
          <w:rFonts w:hint="eastAsia" w:ascii="宋体" w:cs="宋体"/>
          <w:kern w:val="0"/>
          <w:szCs w:val="21"/>
          <w:lang w:val="en-US" w:eastAsia="zh-CN"/>
        </w:rPr>
        <w:t xml:space="preserve">在统计源以上期刊发表两篇，其中一篇属于SCI2区以上；或在SCI收录的学术期刊上发表学术论文两篇； </w:t>
      </w:r>
    </w:p>
    <w:p>
      <w:pPr>
        <w:snapToGrid w:val="0"/>
        <w:spacing w:line="360" w:lineRule="auto"/>
        <w:ind w:firstLine="420" w:firstLineChars="200"/>
        <w:rPr>
          <w:rFonts w:hint="eastAsia" w:ascii="宋体" w:cs="宋体"/>
          <w:kern w:val="0"/>
          <w:szCs w:val="21"/>
          <w:lang w:val="en-US" w:eastAsia="zh-CN"/>
        </w:rPr>
      </w:pPr>
      <w:r>
        <w:rPr>
          <w:rFonts w:hint="eastAsia" w:ascii="宋体" w:cs="宋体"/>
          <w:kern w:val="0"/>
          <w:szCs w:val="21"/>
          <w:lang w:val="en-US" w:eastAsia="zh-CN"/>
        </w:rPr>
        <w:t>在一级学科主学报以上期刊发表三篇，其中一篇为SCI收录的学术期刊；</w:t>
      </w:r>
    </w:p>
    <w:p>
      <w:pPr>
        <w:snapToGrid w:val="0"/>
        <w:spacing w:line="360" w:lineRule="auto"/>
        <w:ind w:firstLine="420" w:firstLineChars="200"/>
        <w:rPr>
          <w:rFonts w:hint="eastAsia" w:ascii="宋体" w:cs="宋体"/>
          <w:kern w:val="0"/>
          <w:szCs w:val="21"/>
          <w:lang w:val="en-US" w:eastAsia="zh-CN"/>
        </w:rPr>
      </w:pPr>
      <w:r>
        <w:rPr>
          <w:rFonts w:hint="eastAsia" w:ascii="宋体" w:cs="宋体"/>
          <w:kern w:val="0"/>
          <w:szCs w:val="21"/>
          <w:lang w:val="en-US" w:eastAsia="zh-CN"/>
        </w:rPr>
        <w:t>在T1、T2期刊上发表论文1篇，或在T3期刊上发表论文2篇；</w:t>
      </w:r>
    </w:p>
    <w:p>
      <w:pPr>
        <w:snapToGrid w:val="0"/>
        <w:spacing w:line="360" w:lineRule="auto"/>
        <w:ind w:firstLine="420" w:firstLineChars="200"/>
        <w:rPr>
          <w:rFonts w:hint="eastAsia" w:ascii="宋体" w:cs="宋体"/>
          <w:color w:val="auto"/>
          <w:kern w:val="0"/>
          <w:szCs w:val="21"/>
          <w:u w:val="none"/>
          <w:lang w:eastAsia="zh-CN"/>
        </w:rPr>
      </w:pPr>
      <w:r>
        <w:rPr>
          <w:rFonts w:hint="eastAsia" w:ascii="宋体" w:cs="宋体"/>
          <w:kern w:val="0"/>
          <w:szCs w:val="21"/>
          <w:lang w:val="en-US" w:eastAsia="zh-CN"/>
        </w:rPr>
        <w:t>在业内认可的期刊上发表论文3篇，其中一篇发表在T3期刊。</w:t>
      </w:r>
    </w:p>
    <w:p>
      <w:pPr>
        <w:snapToGrid w:val="0"/>
        <w:spacing w:line="360" w:lineRule="auto"/>
        <w:ind w:firstLine="420" w:firstLineChars="200"/>
        <w:rPr>
          <w:rFonts w:ascii="宋体" w:cs="宋体"/>
          <w:kern w:val="0"/>
          <w:szCs w:val="21"/>
        </w:rPr>
      </w:pPr>
      <w:r>
        <w:rPr>
          <w:rFonts w:hint="eastAsia" w:ascii="宋体" w:cs="宋体"/>
          <w:kern w:val="0"/>
          <w:szCs w:val="21"/>
        </w:rPr>
        <w:t>7.博士研究生发表论文的作者第一署名单位必须是山西大学，研究生第一作者或导师第一作者研究生第二作者，至少有一篇为研究生独立作者或第一作者。</w:t>
      </w:r>
    </w:p>
    <w:p>
      <w:pPr>
        <w:snapToGrid w:val="0"/>
        <w:spacing w:line="360" w:lineRule="auto"/>
        <w:ind w:firstLine="420" w:firstLineChars="200"/>
        <w:rPr>
          <w:rFonts w:hint="eastAsia" w:ascii="宋体" w:cs="宋体"/>
          <w:kern w:val="0"/>
          <w:szCs w:val="21"/>
        </w:rPr>
      </w:pPr>
      <w:r>
        <w:rPr>
          <w:rFonts w:hint="eastAsia" w:ascii="宋体" w:cs="宋体"/>
          <w:kern w:val="0"/>
          <w:szCs w:val="21"/>
        </w:rPr>
        <w:t>注：对于按照国际惯例以作者姓氏的字母顺序排列的论文，须经导师和学位分委员会审核认定该论文与毕业论文是密切相关的，山西大学可以不是第一作者单位，否则，山西大学必须是第一作者单位；如果博士生有多个单位，山西大学必须是该生的第一署名单位。</w:t>
      </w:r>
    </w:p>
    <w:p>
      <w:pPr>
        <w:snapToGrid w:val="0"/>
        <w:spacing w:line="360" w:lineRule="auto"/>
        <w:ind w:firstLine="420" w:firstLineChars="200"/>
        <w:rPr>
          <w:rFonts w:hint="eastAsia" w:ascii="宋体" w:cs="宋体"/>
          <w:kern w:val="0"/>
          <w:szCs w:val="21"/>
        </w:rPr>
      </w:pPr>
    </w:p>
    <w:p>
      <w:pPr>
        <w:snapToGrid w:val="0"/>
        <w:spacing w:line="360" w:lineRule="auto"/>
        <w:ind w:firstLine="420" w:firstLineChars="200"/>
        <w:rPr>
          <w:rFonts w:hint="eastAsia" w:ascii="宋体" w:cs="宋体"/>
          <w:kern w:val="0"/>
          <w:szCs w:val="21"/>
        </w:rPr>
      </w:pPr>
      <w:r>
        <w:rPr>
          <w:rFonts w:hint="eastAsia" w:ascii="宋体" w:cs="宋体"/>
          <w:kern w:val="0"/>
          <w:szCs w:val="21"/>
        </w:rPr>
        <w:t>为保证学位论文质量，导师和培养单位应注意抓好学位论文选题、开题报告、预答辩、答辩等几个关键环节。</w:t>
      </w:r>
    </w:p>
    <w:p>
      <w:pPr>
        <w:numPr>
          <w:ilvl w:val="0"/>
          <w:numId w:val="5"/>
        </w:numPr>
        <w:snapToGrid w:val="0"/>
        <w:spacing w:line="360" w:lineRule="auto"/>
        <w:ind w:firstLine="420" w:firstLineChars="200"/>
        <w:rPr>
          <w:rFonts w:hint="eastAsia" w:ascii="宋体" w:cs="宋体"/>
          <w:kern w:val="0"/>
          <w:szCs w:val="21"/>
        </w:rPr>
      </w:pPr>
      <w:r>
        <w:rPr>
          <w:rFonts w:hint="eastAsia" w:ascii="宋体" w:cs="宋体"/>
          <w:kern w:val="0"/>
          <w:szCs w:val="21"/>
        </w:rPr>
        <w:t>论文开题：学位论文选题应在博士研究生指导教师指导下由博士研究生拟定，并于第二学年的第一学期作开题报告，就选题的依据、目的、意义、研究内容、预期目标、研究方法、课题条件和实施方案等作出论证。</w:t>
      </w:r>
    </w:p>
    <w:p>
      <w:pPr>
        <w:numPr>
          <w:ilvl w:val="0"/>
          <w:numId w:val="0"/>
        </w:numPr>
        <w:snapToGrid w:val="0"/>
        <w:spacing w:line="360" w:lineRule="auto"/>
        <w:ind w:firstLine="420" w:firstLineChars="200"/>
        <w:rPr>
          <w:rFonts w:ascii="宋体" w:cs="宋体"/>
          <w:kern w:val="0"/>
          <w:szCs w:val="21"/>
        </w:rPr>
      </w:pPr>
      <w:r>
        <w:rPr>
          <w:rFonts w:hint="eastAsia" w:ascii="宋体" w:cs="宋体"/>
          <w:kern w:val="0"/>
          <w:szCs w:val="21"/>
        </w:rPr>
        <w:t>博士生在撰写论文之前，必须经过认真的调查研究，查阅大量的文献资料，了解本课题研究的历史与现状，在此基础上提出自己的主攻方向及预期目标，确定技术路线等。开题报告的主要内容包括论文选题的理由或意义，国内外关于该课题的研究现状及趋势，本人的详细研究计划，主要参考书目等。</w:t>
      </w:r>
    </w:p>
    <w:p>
      <w:pPr>
        <w:snapToGrid w:val="0"/>
        <w:spacing w:line="360" w:lineRule="auto"/>
        <w:ind w:firstLine="420" w:firstLineChars="200"/>
        <w:rPr>
          <w:rFonts w:hint="eastAsia" w:ascii="宋体" w:cs="宋体"/>
          <w:kern w:val="0"/>
          <w:szCs w:val="21"/>
        </w:rPr>
      </w:pPr>
      <w:r>
        <w:rPr>
          <w:rFonts w:hint="eastAsia" w:ascii="宋体" w:cs="宋体"/>
          <w:kern w:val="0"/>
          <w:szCs w:val="21"/>
        </w:rPr>
        <w:t>开题报告的时间一般安排在博士研究生入学后的第三学期进行，由导师负责组织。</w:t>
      </w:r>
    </w:p>
    <w:p>
      <w:pPr>
        <w:numPr>
          <w:ilvl w:val="0"/>
          <w:numId w:val="5"/>
        </w:numPr>
        <w:snapToGrid w:val="0"/>
        <w:spacing w:line="360" w:lineRule="auto"/>
        <w:ind w:left="0" w:leftChars="0" w:firstLine="420" w:firstLineChars="200"/>
        <w:rPr>
          <w:rFonts w:hint="eastAsia" w:ascii="宋体" w:cs="宋体"/>
          <w:kern w:val="0"/>
          <w:szCs w:val="21"/>
        </w:rPr>
      </w:pPr>
      <w:r>
        <w:rPr>
          <w:rFonts w:hint="eastAsia" w:ascii="宋体" w:cs="宋体"/>
          <w:kern w:val="0"/>
          <w:szCs w:val="21"/>
        </w:rPr>
        <w:t>预答辩：要求博士研究生在申请学位论文答辩的前一学期进行论文的全面审核，即预答辩。申请学位论文答辩的博士研究生向预答辩委员会全面报告论文进展及取得的成果，听取意见，确定如期还是延期答辩，进一步修改和完善学位论文。</w:t>
      </w:r>
    </w:p>
    <w:p>
      <w:pPr>
        <w:snapToGrid w:val="0"/>
        <w:spacing w:line="360" w:lineRule="auto"/>
        <w:ind w:firstLine="420" w:firstLineChars="200"/>
        <w:rPr>
          <w:rFonts w:hint="eastAsia" w:ascii="宋体" w:cs="宋体"/>
          <w:kern w:val="0"/>
          <w:szCs w:val="21"/>
        </w:rPr>
      </w:pPr>
      <w:r>
        <w:rPr>
          <w:rFonts w:hint="eastAsia" w:ascii="宋体" w:cs="宋体"/>
          <w:kern w:val="0"/>
          <w:szCs w:val="21"/>
        </w:rPr>
        <w:t>预答辩是对博士生学位论文提交正式审核之前，所在培养单位和导师对即将毕业博士生的学位论文所做的最后一次自我把关。博士研究生应在申请学位论文答辩前5个月向导师、论文指导小组成员等全面报告学位论文进展情况及取得的成果，广泛征求意见与建议，以便进一步修改与完善论文。博士学位论文预答辩应由导师主持。只有通过预答辩，学生方可进入下一阶段的有关博士毕业程序；否则，需延迟或肄业。 </w:t>
      </w:r>
    </w:p>
    <w:p>
      <w:pPr>
        <w:snapToGrid w:val="0"/>
        <w:spacing w:line="360" w:lineRule="auto"/>
        <w:ind w:firstLine="420" w:firstLineChars="200"/>
        <w:rPr>
          <w:rFonts w:ascii="宋体" w:cs="宋体"/>
          <w:kern w:val="0"/>
          <w:szCs w:val="21"/>
        </w:rPr>
      </w:pPr>
      <w:r>
        <w:rPr>
          <w:rFonts w:hint="eastAsia" w:ascii="宋体" w:cs="宋体"/>
          <w:kern w:val="0"/>
          <w:szCs w:val="21"/>
        </w:rPr>
        <w:t>3．论文评阅：博士学位论文在答辩前三个月送同行专家评阅。博士学位论文全部匿名评阅。论文评阅前学位申请人应对学位论文的创新点和相关性进行说明。作为学位论文的有机组成部分，申请人应指出科研成果在学位论文中的具体章节。导师应就创新点和相关性说明签署意见。</w:t>
      </w:r>
    </w:p>
    <w:p>
      <w:pPr>
        <w:snapToGrid w:val="0"/>
        <w:spacing w:line="360" w:lineRule="auto"/>
        <w:ind w:firstLine="420" w:firstLineChars="200"/>
        <w:rPr>
          <w:rFonts w:hint="eastAsia" w:ascii="宋体" w:cs="宋体"/>
          <w:kern w:val="0"/>
          <w:szCs w:val="21"/>
        </w:rPr>
      </w:pPr>
      <w:r>
        <w:rPr>
          <w:rFonts w:hint="eastAsia" w:ascii="宋体" w:cs="宋体"/>
          <w:kern w:val="0"/>
          <w:szCs w:val="21"/>
        </w:rPr>
        <w:t>论文评阅有关规定详见《山西大学博士学位授予工作规定》。</w:t>
      </w:r>
    </w:p>
    <w:p>
      <w:pPr>
        <w:snapToGrid w:val="0"/>
        <w:spacing w:line="360" w:lineRule="auto"/>
        <w:ind w:firstLine="420" w:firstLineChars="200"/>
        <w:rPr>
          <w:rFonts w:ascii="宋体" w:cs="宋体"/>
          <w:kern w:val="0"/>
          <w:szCs w:val="21"/>
        </w:rPr>
      </w:pPr>
      <w:r>
        <w:rPr>
          <w:rFonts w:hint="eastAsia" w:ascii="宋体" w:cs="宋体"/>
          <w:kern w:val="0"/>
          <w:szCs w:val="21"/>
        </w:rPr>
        <w:t>4．论文答辩：一般在最后一个学期末进行。有关要求见《山西大学博士学位授予工作规定》。</w:t>
      </w:r>
    </w:p>
    <w:p>
      <w:pPr>
        <w:spacing w:line="360" w:lineRule="auto"/>
        <w:rPr>
          <w:rFonts w:ascii="黑体" w:hAnsi="宋体" w:eastAsia="黑体"/>
          <w:sz w:val="28"/>
        </w:rPr>
      </w:pPr>
      <w:r>
        <w:rPr>
          <w:rFonts w:hint="eastAsia" w:ascii="黑体" w:hAnsi="宋体" w:eastAsia="黑体"/>
          <w:sz w:val="28"/>
          <w:lang w:eastAsia="zh-CN"/>
        </w:rPr>
        <w:t>八</w:t>
      </w:r>
      <w:r>
        <w:rPr>
          <w:rFonts w:hint="eastAsia" w:ascii="黑体" w:hAnsi="宋体" w:eastAsia="黑体"/>
          <w:sz w:val="28"/>
        </w:rPr>
        <w:t>、必读书目和主要学术期刊</w:t>
      </w:r>
    </w:p>
    <w:p>
      <w:pPr>
        <w:autoSpaceDE w:val="0"/>
        <w:autoSpaceDN w:val="0"/>
        <w:adjustRightInd w:val="0"/>
        <w:spacing w:line="360" w:lineRule="auto"/>
        <w:jc w:val="left"/>
        <w:rPr>
          <w:rFonts w:ascii="黑体" w:hAnsi="黑体" w:eastAsia="黑体" w:cs="宋体"/>
          <w:kern w:val="0"/>
          <w:sz w:val="24"/>
        </w:rPr>
      </w:pPr>
      <w:r>
        <w:rPr>
          <w:rFonts w:hint="eastAsia" w:ascii="黑体" w:hAnsi="黑体" w:eastAsia="黑体" w:cs="宋体"/>
          <w:kern w:val="0"/>
          <w:sz w:val="24"/>
        </w:rPr>
        <w:t>（一）必读书目</w:t>
      </w:r>
    </w:p>
    <w:p>
      <w:pPr>
        <w:widowControl/>
        <w:spacing w:line="360" w:lineRule="auto"/>
        <w:ind w:left="315" w:hanging="315" w:hangingChars="150"/>
        <w:jc w:val="left"/>
        <w:rPr>
          <w:color w:val="000000"/>
          <w:kern w:val="0"/>
          <w:szCs w:val="21"/>
        </w:rPr>
      </w:pPr>
      <w:r>
        <w:rPr>
          <w:color w:val="000000"/>
          <w:kern w:val="0"/>
          <w:szCs w:val="21"/>
        </w:rPr>
        <w:t>[1] Kung-Ching Chang, Infinite Dimensional Morse Theory and Multiple Solution Problems, Birkhauser, 1993.</w:t>
      </w:r>
    </w:p>
    <w:p>
      <w:pPr>
        <w:widowControl/>
        <w:spacing w:line="360" w:lineRule="auto"/>
        <w:ind w:left="315" w:hanging="315" w:hangingChars="150"/>
        <w:jc w:val="left"/>
        <w:rPr>
          <w:color w:val="000000"/>
          <w:kern w:val="0"/>
          <w:szCs w:val="21"/>
        </w:rPr>
      </w:pPr>
      <w:r>
        <w:rPr>
          <w:color w:val="000000"/>
          <w:kern w:val="0"/>
          <w:szCs w:val="21"/>
        </w:rPr>
        <w:t>[2] David Gilbarg, Neil S. Trudinger, Elliptic Partial Differential Equations of Second Order, Reprint of the 1998 Edition, Springer, 2001.</w:t>
      </w:r>
    </w:p>
    <w:p>
      <w:pPr>
        <w:widowControl/>
        <w:spacing w:line="360" w:lineRule="auto"/>
        <w:ind w:left="315" w:hanging="315" w:hangingChars="150"/>
        <w:jc w:val="left"/>
        <w:rPr>
          <w:color w:val="000000"/>
          <w:kern w:val="0"/>
          <w:szCs w:val="21"/>
        </w:rPr>
      </w:pPr>
      <w:r>
        <w:rPr>
          <w:color w:val="000000"/>
          <w:kern w:val="0"/>
          <w:szCs w:val="21"/>
        </w:rPr>
        <w:t>[3] Robert A. Adams, John J. F. Fournier, Sobolev spaces, Second Edition, Academic Press, 2003.</w:t>
      </w:r>
    </w:p>
    <w:p>
      <w:pPr>
        <w:spacing w:line="360" w:lineRule="auto"/>
        <w:ind w:left="315" w:hanging="315" w:hangingChars="150"/>
        <w:rPr>
          <w:szCs w:val="21"/>
        </w:rPr>
      </w:pPr>
      <w:r>
        <w:rPr>
          <w:szCs w:val="21"/>
        </w:rPr>
        <w:t>[4] Lawrence C. Evans, Partial Differential Equations: Second Edition (Graduate Studies in Mathematics; 19) , Providence, RI : American Mathematical Society, 2010.</w:t>
      </w:r>
    </w:p>
    <w:p>
      <w:pPr>
        <w:spacing w:line="360" w:lineRule="auto"/>
        <w:ind w:left="315" w:hanging="315" w:hangingChars="150"/>
        <w:rPr>
          <w:szCs w:val="21"/>
        </w:rPr>
      </w:pPr>
      <w:r>
        <w:rPr>
          <w:szCs w:val="21"/>
        </w:rPr>
        <w:t>[5] 郭大均，非线性分析中的半序方法，山东科学出版社，2000.</w:t>
      </w:r>
      <w:r>
        <w:rPr>
          <w:rFonts w:hint="eastAsia"/>
          <w:szCs w:val="21"/>
        </w:rPr>
        <w:t xml:space="preserve"> </w:t>
      </w:r>
    </w:p>
    <w:p>
      <w:pPr>
        <w:spacing w:line="360" w:lineRule="auto"/>
        <w:ind w:left="315" w:hanging="315" w:hangingChars="150"/>
        <w:rPr>
          <w:szCs w:val="21"/>
        </w:rPr>
      </w:pPr>
      <w:r>
        <w:rPr>
          <w:rFonts w:hint="eastAsia"/>
          <w:szCs w:val="21"/>
        </w:rPr>
        <w:t xml:space="preserve">[6] R. D. Mosak, Banach algebras, Chicago Lectures in Mathematics, University of Chicago Press, 1975. </w:t>
      </w:r>
    </w:p>
    <w:p>
      <w:pPr>
        <w:spacing w:line="360" w:lineRule="auto"/>
        <w:ind w:left="315" w:hanging="315" w:hangingChars="150"/>
        <w:rPr>
          <w:szCs w:val="21"/>
        </w:rPr>
      </w:pPr>
      <w:r>
        <w:rPr>
          <w:szCs w:val="21"/>
        </w:rPr>
        <w:t>[</w:t>
      </w:r>
      <w:r>
        <w:rPr>
          <w:rFonts w:hint="eastAsia"/>
          <w:szCs w:val="21"/>
        </w:rPr>
        <w:t>7</w:t>
      </w:r>
      <w:r>
        <w:rPr>
          <w:szCs w:val="21"/>
        </w:rPr>
        <w:t>]</w:t>
      </w:r>
      <w:r>
        <w:rPr>
          <w:rFonts w:hint="eastAsia"/>
          <w:szCs w:val="21"/>
        </w:rPr>
        <w:t xml:space="preserve"> R. V. Kadison and J. R. Ringrose, Fundamentals of the Theory of Operator Algebras,Vol. I, Academic Press, New York, 1983, Vol. II, Academic Press, New York, 1986.</w:t>
      </w:r>
    </w:p>
    <w:p>
      <w:pPr>
        <w:spacing w:line="360" w:lineRule="auto"/>
        <w:ind w:left="420" w:hanging="420" w:hangingChars="200"/>
        <w:rPr>
          <w:szCs w:val="21"/>
        </w:rPr>
      </w:pPr>
      <w:r>
        <w:rPr>
          <w:rFonts w:hint="eastAsia"/>
          <w:szCs w:val="21"/>
        </w:rPr>
        <w:t>[8] M. A. Nielsen, I. L. Chuang, Quantum Computation and Quantum Information, Cambridge University Press, Cambrigde, 2010.</w:t>
      </w:r>
    </w:p>
    <w:p>
      <w:pPr>
        <w:spacing w:line="360" w:lineRule="auto"/>
        <w:rPr>
          <w:szCs w:val="21"/>
        </w:rPr>
      </w:pPr>
      <w:r>
        <w:rPr>
          <w:rFonts w:hint="eastAsia"/>
          <w:szCs w:val="21"/>
        </w:rPr>
        <w:t>[9] 周志华，机器学习，清华大学出版社，2016.</w:t>
      </w:r>
    </w:p>
    <w:p>
      <w:pPr>
        <w:spacing w:line="360" w:lineRule="auto"/>
        <w:ind w:left="315" w:hanging="315" w:hangingChars="150"/>
        <w:rPr>
          <w:szCs w:val="21"/>
        </w:rPr>
      </w:pPr>
      <w:r>
        <w:rPr>
          <w:rFonts w:hint="eastAsia"/>
          <w:szCs w:val="21"/>
        </w:rPr>
        <w:t xml:space="preserve">[10] </w:t>
      </w:r>
      <w:r>
        <w:rPr>
          <w:szCs w:val="21"/>
        </w:rPr>
        <w:t>I. M. Isaacs, Finite Group Theory, Graduate Studies in Mathematics, 92,</w:t>
      </w:r>
      <w:r>
        <w:rPr>
          <w:rFonts w:hint="eastAsia"/>
          <w:szCs w:val="21"/>
        </w:rPr>
        <w:t xml:space="preserve"> </w:t>
      </w:r>
      <w:r>
        <w:rPr>
          <w:szCs w:val="21"/>
        </w:rPr>
        <w:t>Providence, RI: Amer. Math. Soc. 2008.</w:t>
      </w:r>
    </w:p>
    <w:p>
      <w:pPr>
        <w:spacing w:line="360" w:lineRule="auto"/>
        <w:ind w:left="315" w:hanging="315" w:hangingChars="150"/>
        <w:rPr>
          <w:szCs w:val="21"/>
        </w:rPr>
      </w:pPr>
      <w:r>
        <w:rPr>
          <w:rFonts w:hint="eastAsia"/>
          <w:szCs w:val="21"/>
        </w:rPr>
        <w:t xml:space="preserve">[11] </w:t>
      </w:r>
      <w:r>
        <w:rPr>
          <w:szCs w:val="21"/>
        </w:rPr>
        <w:t>I. M. Isaacs, Character Theory of Finite Groups, Providence, RI: AMS</w:t>
      </w:r>
      <w:r>
        <w:rPr>
          <w:rFonts w:hint="eastAsia"/>
          <w:szCs w:val="21"/>
        </w:rPr>
        <w:t xml:space="preserve"> </w:t>
      </w:r>
      <w:r>
        <w:rPr>
          <w:szCs w:val="21"/>
        </w:rPr>
        <w:t>Chelsea Publishing, 2006.</w:t>
      </w:r>
    </w:p>
    <w:p>
      <w:pPr>
        <w:spacing w:line="360" w:lineRule="auto"/>
        <w:ind w:left="315" w:hanging="315" w:hangingChars="150"/>
        <w:rPr>
          <w:szCs w:val="21"/>
        </w:rPr>
      </w:pPr>
      <w:r>
        <w:rPr>
          <w:rFonts w:hint="eastAsia"/>
          <w:szCs w:val="21"/>
        </w:rPr>
        <w:t xml:space="preserve">[12] </w:t>
      </w:r>
      <w:r>
        <w:rPr>
          <w:szCs w:val="21"/>
        </w:rPr>
        <w:t>I. M. Isaacs, Characters of Solvable Groups, Providence, RI: Amer.</w:t>
      </w:r>
      <w:r>
        <w:rPr>
          <w:rFonts w:hint="eastAsia"/>
          <w:szCs w:val="21"/>
        </w:rPr>
        <w:t xml:space="preserve"> </w:t>
      </w:r>
      <w:r>
        <w:rPr>
          <w:szCs w:val="21"/>
        </w:rPr>
        <w:t>Math. Soc.</w:t>
      </w:r>
      <w:r>
        <w:rPr>
          <w:rFonts w:hint="eastAsia"/>
          <w:szCs w:val="21"/>
        </w:rPr>
        <w:t xml:space="preserve"> </w:t>
      </w:r>
      <w:r>
        <w:rPr>
          <w:szCs w:val="21"/>
        </w:rPr>
        <w:t>2018.</w:t>
      </w:r>
    </w:p>
    <w:p>
      <w:pPr>
        <w:spacing w:line="360" w:lineRule="auto"/>
        <w:ind w:left="315" w:hanging="315" w:hangingChars="150"/>
        <w:rPr>
          <w:szCs w:val="21"/>
        </w:rPr>
      </w:pPr>
      <w:r>
        <w:rPr>
          <w:rFonts w:hint="eastAsia"/>
          <w:szCs w:val="21"/>
        </w:rPr>
        <w:t xml:space="preserve">[13] </w:t>
      </w:r>
      <w:r>
        <w:rPr>
          <w:szCs w:val="21"/>
        </w:rPr>
        <w:t>G. Navarro, Characters and blocks of finite groups, Cambridge: Cambridge</w:t>
      </w:r>
      <w:r>
        <w:rPr>
          <w:rFonts w:hint="eastAsia"/>
          <w:szCs w:val="21"/>
        </w:rPr>
        <w:t xml:space="preserve"> </w:t>
      </w:r>
      <w:r>
        <w:rPr>
          <w:szCs w:val="21"/>
        </w:rPr>
        <w:t>University Press (1998).</w:t>
      </w:r>
    </w:p>
    <w:p>
      <w:pPr>
        <w:spacing w:line="360" w:lineRule="auto"/>
        <w:ind w:left="315" w:hanging="315" w:hangingChars="150"/>
        <w:rPr>
          <w:szCs w:val="21"/>
        </w:rPr>
      </w:pPr>
      <w:r>
        <w:rPr>
          <w:rFonts w:hint="eastAsia"/>
          <w:szCs w:val="21"/>
        </w:rPr>
        <w:t>[14] 赵爱民，李美丽，韩茂安，微分方程基本理论，科学出版社，2011.</w:t>
      </w:r>
    </w:p>
    <w:p>
      <w:pPr>
        <w:spacing w:line="360" w:lineRule="auto"/>
        <w:ind w:left="315" w:hanging="315" w:hangingChars="150"/>
        <w:rPr>
          <w:szCs w:val="21"/>
        </w:rPr>
      </w:pPr>
      <w:r>
        <w:rPr>
          <w:rFonts w:hint="eastAsia"/>
          <w:szCs w:val="21"/>
        </w:rPr>
        <w:t>[15] 马知恩，周义仓，李承治，常微分方程定性与稳定性方法，科学出版社，2014.</w:t>
      </w:r>
    </w:p>
    <w:p>
      <w:pPr>
        <w:spacing w:line="360" w:lineRule="auto"/>
        <w:ind w:left="315" w:hanging="315" w:hangingChars="150"/>
        <w:rPr>
          <w:szCs w:val="21"/>
        </w:rPr>
      </w:pPr>
      <w:r>
        <w:rPr>
          <w:rFonts w:hint="eastAsia"/>
          <w:szCs w:val="21"/>
        </w:rPr>
        <w:t>[16] Xuerong Mao, Stochastic differential equations and applications, Horwood Publishing, Chichester, UK, 2007.</w:t>
      </w:r>
    </w:p>
    <w:p>
      <w:pPr>
        <w:spacing w:line="360" w:lineRule="auto"/>
        <w:ind w:left="315" w:hanging="315" w:hangingChars="150"/>
        <w:rPr>
          <w:szCs w:val="21"/>
        </w:rPr>
      </w:pPr>
      <w:r>
        <w:rPr>
          <w:rFonts w:hint="eastAsia"/>
          <w:szCs w:val="21"/>
        </w:rPr>
        <w:t>[17] 马知恩，周义仓，王稳地，靳祯，传染病动力学的数学建模与研究，科学出版社，2004.</w:t>
      </w:r>
    </w:p>
    <w:p>
      <w:pPr>
        <w:spacing w:line="360" w:lineRule="auto"/>
        <w:ind w:left="315" w:hanging="315" w:hangingChars="150"/>
        <w:rPr>
          <w:szCs w:val="21"/>
        </w:rPr>
      </w:pPr>
      <w:r>
        <w:rPr>
          <w:rFonts w:hint="eastAsia"/>
          <w:szCs w:val="21"/>
        </w:rPr>
        <w:t>[18] 奚宏生，随机过程引论，中国科学技术大学出版社，2009.</w:t>
      </w:r>
    </w:p>
    <w:p>
      <w:pPr>
        <w:spacing w:line="360" w:lineRule="auto"/>
        <w:rPr>
          <w:szCs w:val="21"/>
        </w:rPr>
      </w:pPr>
      <w:r>
        <w:rPr>
          <w:szCs w:val="21"/>
        </w:rPr>
        <w:t>[</w:t>
      </w:r>
      <w:r>
        <w:rPr>
          <w:rFonts w:hint="eastAsia"/>
          <w:szCs w:val="21"/>
        </w:rPr>
        <w:t>19</w:t>
      </w:r>
      <w:r>
        <w:rPr>
          <w:szCs w:val="21"/>
        </w:rPr>
        <w:t xml:space="preserve">] </w:t>
      </w:r>
      <w:r>
        <w:rPr>
          <w:rFonts w:hint="eastAsia" w:hAnsi="宋体"/>
          <w:szCs w:val="21"/>
        </w:rPr>
        <w:t>陈恕行，现代偏微分方程导论（第</w:t>
      </w:r>
      <w:r>
        <w:rPr>
          <w:szCs w:val="21"/>
        </w:rPr>
        <w:t>1</w:t>
      </w:r>
      <w:r>
        <w:rPr>
          <w:rFonts w:hint="eastAsia" w:hAnsi="宋体"/>
          <w:szCs w:val="21"/>
        </w:rPr>
        <w:t>版），科学出版社，</w:t>
      </w:r>
      <w:r>
        <w:rPr>
          <w:szCs w:val="21"/>
        </w:rPr>
        <w:t>2007.</w:t>
      </w:r>
    </w:p>
    <w:p>
      <w:pPr>
        <w:widowControl/>
        <w:spacing w:line="360" w:lineRule="auto"/>
        <w:jc w:val="left"/>
        <w:rPr>
          <w:color w:val="000000"/>
          <w:kern w:val="0"/>
          <w:szCs w:val="21"/>
        </w:rPr>
      </w:pPr>
      <w:r>
        <w:rPr>
          <w:kern w:val="0"/>
          <w:szCs w:val="21"/>
        </w:rPr>
        <w:t>[</w:t>
      </w:r>
      <w:r>
        <w:rPr>
          <w:rFonts w:hint="eastAsia"/>
          <w:kern w:val="0"/>
          <w:szCs w:val="21"/>
        </w:rPr>
        <w:t>20</w:t>
      </w:r>
      <w:r>
        <w:rPr>
          <w:kern w:val="0"/>
          <w:szCs w:val="21"/>
        </w:rPr>
        <w:t>] J.</w:t>
      </w:r>
      <w:r>
        <w:rPr>
          <w:rFonts w:hint="eastAsia"/>
          <w:kern w:val="0"/>
          <w:szCs w:val="21"/>
        </w:rPr>
        <w:t xml:space="preserve"> </w:t>
      </w:r>
      <w:r>
        <w:rPr>
          <w:kern w:val="0"/>
          <w:szCs w:val="21"/>
        </w:rPr>
        <w:t>A. Bondy, U.</w:t>
      </w:r>
      <w:r>
        <w:rPr>
          <w:rFonts w:hint="eastAsia"/>
          <w:kern w:val="0"/>
          <w:szCs w:val="21"/>
        </w:rPr>
        <w:t xml:space="preserve"> </w:t>
      </w:r>
      <w:r>
        <w:rPr>
          <w:kern w:val="0"/>
          <w:szCs w:val="21"/>
        </w:rPr>
        <w:t>S.</w:t>
      </w:r>
      <w:r>
        <w:rPr>
          <w:rFonts w:hint="eastAsia"/>
          <w:kern w:val="0"/>
          <w:szCs w:val="21"/>
        </w:rPr>
        <w:t xml:space="preserve"> </w:t>
      </w:r>
      <w:r>
        <w:rPr>
          <w:kern w:val="0"/>
          <w:szCs w:val="21"/>
        </w:rPr>
        <w:t>R. Murty, Graph Theory, Springer-Verlag, New York, 2007.</w:t>
      </w:r>
    </w:p>
    <w:p>
      <w:pPr>
        <w:spacing w:line="360" w:lineRule="auto"/>
        <w:ind w:left="420" w:hanging="420" w:hangingChars="200"/>
        <w:rPr>
          <w:szCs w:val="21"/>
        </w:rPr>
      </w:pPr>
      <w:r>
        <w:rPr>
          <w:szCs w:val="21"/>
        </w:rPr>
        <w:t>[</w:t>
      </w:r>
      <w:r>
        <w:rPr>
          <w:rFonts w:hint="eastAsia"/>
          <w:szCs w:val="21"/>
        </w:rPr>
        <w:t>21</w:t>
      </w:r>
      <w:r>
        <w:rPr>
          <w:szCs w:val="21"/>
        </w:rPr>
        <w:t>]</w:t>
      </w:r>
      <w:r>
        <w:rPr>
          <w:kern w:val="0"/>
          <w:szCs w:val="21"/>
        </w:rPr>
        <w:t xml:space="preserve"> J. Hale</w:t>
      </w:r>
      <w:r>
        <w:rPr>
          <w:rFonts w:hint="eastAsia" w:hAnsi="宋体"/>
          <w:kern w:val="0"/>
          <w:szCs w:val="21"/>
        </w:rPr>
        <w:t xml:space="preserve">, </w:t>
      </w:r>
      <w:r>
        <w:rPr>
          <w:kern w:val="0"/>
          <w:szCs w:val="21"/>
        </w:rPr>
        <w:t>Theory of Functional Differential Equations</w:t>
      </w:r>
      <w:r>
        <w:rPr>
          <w:rFonts w:hint="eastAsia" w:hAnsi="宋体"/>
          <w:kern w:val="0"/>
          <w:szCs w:val="21"/>
        </w:rPr>
        <w:t xml:space="preserve">, </w:t>
      </w:r>
      <w:r>
        <w:rPr>
          <w:kern w:val="0"/>
          <w:szCs w:val="21"/>
        </w:rPr>
        <w:t>Springer-Verlag, New York, 2003.</w:t>
      </w:r>
    </w:p>
    <w:p>
      <w:pPr>
        <w:spacing w:line="360" w:lineRule="auto"/>
        <w:ind w:left="315" w:hanging="315" w:hangingChars="150"/>
        <w:rPr>
          <w:szCs w:val="21"/>
        </w:rPr>
      </w:pPr>
      <w:r>
        <w:rPr>
          <w:szCs w:val="21"/>
        </w:rPr>
        <w:t>[</w:t>
      </w:r>
      <w:r>
        <w:rPr>
          <w:rFonts w:hint="eastAsia"/>
          <w:szCs w:val="21"/>
        </w:rPr>
        <w:t>22</w:t>
      </w:r>
      <w:r>
        <w:rPr>
          <w:szCs w:val="21"/>
        </w:rPr>
        <w:t xml:space="preserve">] </w:t>
      </w:r>
      <w:r>
        <w:rPr>
          <w:rFonts w:hint="eastAsia"/>
          <w:szCs w:val="21"/>
        </w:rPr>
        <w:t>Michel Willem，Minimax Theorems，Progress in Nonlinear Differential Equations and their Applications, Vol. 24, Birkhäuser Boston Inc., Boston, MA, 1996.</w:t>
      </w:r>
    </w:p>
    <w:p>
      <w:pPr>
        <w:spacing w:line="360" w:lineRule="auto"/>
        <w:ind w:left="420" w:hanging="420" w:hangingChars="200"/>
        <w:rPr>
          <w:szCs w:val="21"/>
        </w:rPr>
      </w:pPr>
      <w:r>
        <w:rPr>
          <w:szCs w:val="21"/>
        </w:rPr>
        <w:t>[</w:t>
      </w:r>
      <w:r>
        <w:rPr>
          <w:rFonts w:hint="eastAsia"/>
          <w:szCs w:val="21"/>
        </w:rPr>
        <w:t>23</w:t>
      </w:r>
      <w:r>
        <w:rPr>
          <w:szCs w:val="21"/>
        </w:rPr>
        <w:t>] K. Gopalsamy, Stability and Oscillations in Delay Differential Equations of Population Dynamics, Kluwer Academic Publishers, Dordrecht, 1992.</w:t>
      </w:r>
    </w:p>
    <w:p>
      <w:pPr>
        <w:spacing w:line="360" w:lineRule="auto"/>
        <w:rPr>
          <w:szCs w:val="21"/>
        </w:rPr>
      </w:pPr>
      <w:r>
        <w:rPr>
          <w:szCs w:val="21"/>
        </w:rPr>
        <w:t>[</w:t>
      </w:r>
      <w:r>
        <w:rPr>
          <w:rFonts w:hint="eastAsia"/>
          <w:szCs w:val="21"/>
        </w:rPr>
        <w:t>24</w:t>
      </w:r>
      <w:r>
        <w:rPr>
          <w:szCs w:val="21"/>
        </w:rPr>
        <w:t xml:space="preserve">] </w:t>
      </w:r>
      <w:r>
        <w:rPr>
          <w:rFonts w:hint="eastAsia" w:hAnsi="宋体"/>
          <w:szCs w:val="21"/>
        </w:rPr>
        <w:t>叶其孝，李正元，王明新，吴雅萍，反应扩散方程引论，科学出版社，</w:t>
      </w:r>
      <w:r>
        <w:rPr>
          <w:szCs w:val="21"/>
        </w:rPr>
        <w:t>2011.</w:t>
      </w:r>
    </w:p>
    <w:p>
      <w:pPr>
        <w:spacing w:line="360" w:lineRule="auto"/>
        <w:ind w:left="480" w:hanging="480" w:hangingChars="200"/>
        <w:rPr>
          <w:rFonts w:hint="eastAsia" w:ascii="黑体" w:hAnsi="黑体" w:eastAsia="黑体" w:cs="宋体"/>
          <w:kern w:val="0"/>
          <w:sz w:val="24"/>
        </w:rPr>
      </w:pPr>
      <w:r>
        <w:rPr>
          <w:rFonts w:hint="eastAsia" w:ascii="黑体" w:hAnsi="黑体" w:eastAsia="黑体" w:cs="宋体"/>
          <w:kern w:val="0"/>
          <w:sz w:val="24"/>
        </w:rPr>
        <w:t>（二）主要学术期刊</w:t>
      </w:r>
    </w:p>
    <w:p>
      <w:pPr>
        <w:spacing w:line="360" w:lineRule="auto"/>
        <w:rPr>
          <w:rFonts w:hint="eastAsia" w:hAnsi="宋体"/>
          <w:szCs w:val="21"/>
          <w:lang w:val="en-US" w:eastAsia="zh-CN"/>
        </w:rPr>
      </w:pPr>
      <w:r>
        <w:rPr>
          <w:rFonts w:hint="eastAsia" w:hAnsi="宋体"/>
          <w:szCs w:val="21"/>
          <w:lang w:val="en-US" w:eastAsia="zh-CN"/>
        </w:rPr>
        <w:t>中国数学会将数学期刊进行了筛选分成三类：</w:t>
      </w:r>
    </w:p>
    <w:p>
      <w:pPr>
        <w:spacing w:line="360" w:lineRule="auto"/>
        <w:rPr>
          <w:rFonts w:hint="eastAsia" w:hAnsi="宋体"/>
          <w:szCs w:val="21"/>
          <w:lang w:val="en-US" w:eastAsia="zh-CN"/>
        </w:rPr>
      </w:pPr>
      <w:r>
        <w:rPr>
          <w:rFonts w:hint="eastAsia" w:hAnsi="宋体"/>
          <w:szCs w:val="21"/>
          <w:lang w:val="en-US" w:eastAsia="zh-CN"/>
        </w:rPr>
        <w:t>T1级：接近或具备国际一流期刊；</w:t>
      </w:r>
    </w:p>
    <w:p>
      <w:pPr>
        <w:spacing w:line="360" w:lineRule="auto"/>
        <w:rPr>
          <w:rFonts w:hint="eastAsia" w:hAnsi="宋体"/>
          <w:szCs w:val="21"/>
          <w:lang w:val="en-US" w:eastAsia="zh-CN"/>
        </w:rPr>
      </w:pPr>
      <w:r>
        <w:rPr>
          <w:rFonts w:hint="eastAsia" w:hAnsi="宋体"/>
          <w:szCs w:val="21"/>
          <w:lang w:val="en-US" w:eastAsia="zh-CN"/>
        </w:rPr>
        <w:t>T2级：国际知名期刊；</w:t>
      </w:r>
    </w:p>
    <w:p>
      <w:pPr>
        <w:spacing w:line="360" w:lineRule="auto"/>
        <w:rPr>
          <w:rFonts w:hint="eastAsia" w:hAnsi="宋体"/>
          <w:szCs w:val="21"/>
          <w:lang w:val="en-US" w:eastAsia="zh-CN"/>
        </w:rPr>
      </w:pPr>
      <w:r>
        <w:rPr>
          <w:rFonts w:hint="eastAsia" w:hAnsi="宋体"/>
          <w:szCs w:val="21"/>
          <w:lang w:val="en-US" w:eastAsia="zh-CN"/>
        </w:rPr>
        <w:t>T3级：业内认可的较高水平期刊。</w:t>
      </w:r>
    </w:p>
    <w:p>
      <w:pPr>
        <w:spacing w:line="360" w:lineRule="auto"/>
        <w:rPr>
          <w:rFonts w:hint="eastAsia" w:ascii="黑体" w:hAnsi="黑体" w:eastAsia="黑体" w:cs="宋体"/>
          <w:kern w:val="0"/>
          <w:sz w:val="24"/>
        </w:rPr>
      </w:pPr>
      <w:r>
        <w:rPr>
          <w:rFonts w:hint="eastAsia" w:hAnsi="宋体"/>
          <w:szCs w:val="21"/>
          <w:lang w:val="en-US" w:eastAsia="zh-CN"/>
        </w:rPr>
        <w:t>数学类189种期刊；概率统计类78种期刊；应用数学类101种期刊；跨学科应用数学类72种期刊。</w:t>
      </w:r>
    </w:p>
    <w:p>
      <w:pPr>
        <w:numPr>
          <w:ilvl w:val="0"/>
          <w:numId w:val="6"/>
        </w:numPr>
        <w:autoSpaceDE w:val="0"/>
        <w:autoSpaceDN w:val="0"/>
        <w:adjustRightInd w:val="0"/>
        <w:spacing w:line="360" w:lineRule="auto"/>
        <w:jc w:val="left"/>
        <w:rPr>
          <w:rFonts w:hint="eastAsia" w:ascii="黑体" w:hAnsi="黑体" w:eastAsia="黑体" w:cs="宋体"/>
          <w:kern w:val="0"/>
          <w:szCs w:val="21"/>
        </w:rPr>
      </w:pPr>
      <w:r>
        <w:rPr>
          <w:rFonts w:hint="eastAsia" w:ascii="黑体" w:hAnsi="黑体" w:eastAsia="黑体" w:cs="宋体"/>
          <w:kern w:val="0"/>
          <w:szCs w:val="21"/>
          <w:lang w:val="en-US" w:eastAsia="zh-CN"/>
        </w:rPr>
        <w:t>T1-T3中</w:t>
      </w:r>
      <w:r>
        <w:rPr>
          <w:rFonts w:hint="eastAsia" w:ascii="黑体" w:hAnsi="黑体" w:eastAsia="黑体" w:cs="宋体"/>
          <w:kern w:val="0"/>
          <w:szCs w:val="21"/>
        </w:rPr>
        <w:t>英文期刊</w:t>
      </w:r>
    </w:p>
    <w:p>
      <w:pPr>
        <w:numPr>
          <w:ilvl w:val="0"/>
          <w:numId w:val="6"/>
        </w:numPr>
        <w:autoSpaceDE w:val="0"/>
        <w:autoSpaceDN w:val="0"/>
        <w:adjustRightInd w:val="0"/>
        <w:spacing w:line="360" w:lineRule="auto"/>
        <w:jc w:val="left"/>
        <w:rPr>
          <w:rFonts w:hint="eastAsia" w:ascii="黑体" w:hAnsi="黑体" w:eastAsia="黑体" w:cs="宋体"/>
          <w:kern w:val="0"/>
          <w:szCs w:val="21"/>
        </w:rPr>
      </w:pPr>
      <w:r>
        <w:rPr>
          <w:rFonts w:hint="eastAsia" w:ascii="黑体" w:hAnsi="黑体" w:eastAsia="黑体" w:cs="宋体"/>
          <w:kern w:val="0"/>
          <w:szCs w:val="21"/>
          <w:lang w:val="en-US" w:eastAsia="zh-CN"/>
        </w:rPr>
        <w:t>T1-T3中中文</w:t>
      </w:r>
      <w:r>
        <w:rPr>
          <w:rFonts w:hint="eastAsia" w:ascii="黑体" w:hAnsi="黑体" w:eastAsia="黑体" w:cs="宋体"/>
          <w:kern w:val="0"/>
          <w:szCs w:val="21"/>
        </w:rPr>
        <w:t>期刊</w:t>
      </w:r>
    </w:p>
    <w:p>
      <w:pPr>
        <w:autoSpaceDE w:val="0"/>
        <w:autoSpaceDN w:val="0"/>
        <w:adjustRightInd w:val="0"/>
        <w:spacing w:line="360" w:lineRule="auto"/>
        <w:jc w:val="left"/>
        <w:rPr>
          <w:rFonts w:ascii="黑体" w:hAnsi="黑体" w:eastAsia="黑体" w:cs="宋体"/>
          <w:kern w:val="0"/>
          <w:sz w:val="24"/>
        </w:rPr>
      </w:pPr>
      <w:r>
        <w:rPr>
          <w:rFonts w:hint="eastAsia" w:ascii="黑体" w:hAnsi="黑体" w:eastAsia="黑体" w:cs="宋体"/>
          <w:kern w:val="0"/>
          <w:sz w:val="24"/>
        </w:rPr>
        <w:t>（三）电子资源</w:t>
      </w:r>
    </w:p>
    <w:p>
      <w:pPr>
        <w:autoSpaceDE w:val="0"/>
        <w:autoSpaceDN w:val="0"/>
        <w:adjustRightInd w:val="0"/>
        <w:spacing w:line="360" w:lineRule="auto"/>
        <w:jc w:val="left"/>
        <w:rPr>
          <w:szCs w:val="21"/>
        </w:rPr>
      </w:pPr>
      <w:r>
        <w:rPr>
          <w:szCs w:val="21"/>
        </w:rPr>
        <w:t xml:space="preserve">[1] </w:t>
      </w:r>
      <w:r>
        <w:fldChar w:fldCharType="begin"/>
      </w:r>
      <w:r>
        <w:instrText xml:space="preserve"> HYPERLINK "http://202.207.210.54/kns50/" </w:instrText>
      </w:r>
      <w:r>
        <w:fldChar w:fldCharType="separate"/>
      </w:r>
      <w:r>
        <w:rPr>
          <w:szCs w:val="21"/>
        </w:rPr>
        <w:t>http://202.207.210.54/kns50/</w:t>
      </w:r>
      <w:r>
        <w:rPr>
          <w:szCs w:val="21"/>
        </w:rPr>
        <w:fldChar w:fldCharType="end"/>
      </w:r>
      <w:r>
        <w:rPr>
          <w:szCs w:val="21"/>
        </w:rPr>
        <w:t>，山西大学图书馆.</w:t>
      </w:r>
    </w:p>
    <w:p>
      <w:pPr>
        <w:autoSpaceDE w:val="0"/>
        <w:autoSpaceDN w:val="0"/>
        <w:adjustRightInd w:val="0"/>
        <w:spacing w:line="360" w:lineRule="auto"/>
        <w:rPr>
          <w:szCs w:val="21"/>
        </w:rPr>
      </w:pPr>
      <w:r>
        <w:rPr>
          <w:szCs w:val="21"/>
        </w:rPr>
        <w:t xml:space="preserve">[2] </w:t>
      </w:r>
      <w:r>
        <w:fldChar w:fldCharType="begin"/>
      </w:r>
      <w:r>
        <w:instrText xml:space="preserve"> HYPERLINK "http://www.sciencedirect.com/science/browse/sub/mathematics" </w:instrText>
      </w:r>
      <w:r>
        <w:fldChar w:fldCharType="separate"/>
      </w:r>
      <w:r>
        <w:rPr>
          <w:szCs w:val="21"/>
        </w:rPr>
        <w:t>http://www.sciencedirect.com/science/browse/sub/mathematics</w:t>
      </w:r>
      <w:r>
        <w:rPr>
          <w:szCs w:val="21"/>
        </w:rPr>
        <w:fldChar w:fldCharType="end"/>
      </w:r>
      <w:r>
        <w:rPr>
          <w:szCs w:val="21"/>
        </w:rPr>
        <w:t>，山西大学图书馆.</w:t>
      </w:r>
    </w:p>
    <w:p>
      <w:pPr>
        <w:autoSpaceDE w:val="0"/>
        <w:autoSpaceDN w:val="0"/>
        <w:adjustRightInd w:val="0"/>
        <w:spacing w:line="360" w:lineRule="auto"/>
        <w:rPr>
          <w:szCs w:val="21"/>
        </w:rPr>
      </w:pPr>
      <w:r>
        <w:rPr>
          <w:szCs w:val="21"/>
        </w:rPr>
        <w:t xml:space="preserve">[3] </w:t>
      </w:r>
      <w:r>
        <w:fldChar w:fldCharType="begin"/>
      </w:r>
      <w:r>
        <w:instrText xml:space="preserve"> HYPERLINK "http://www.ams.org/mathscinet/" </w:instrText>
      </w:r>
      <w:r>
        <w:fldChar w:fldCharType="separate"/>
      </w:r>
      <w:r>
        <w:rPr>
          <w:szCs w:val="21"/>
        </w:rPr>
        <w:t>http://www.ams.org/mathscinet/</w:t>
      </w:r>
      <w:r>
        <w:rPr>
          <w:szCs w:val="21"/>
        </w:rPr>
        <w:fldChar w:fldCharType="end"/>
      </w:r>
      <w:r>
        <w:rPr>
          <w:szCs w:val="21"/>
        </w:rPr>
        <w:t>，山西大学图书馆.</w:t>
      </w:r>
    </w:p>
    <w:p>
      <w:pPr>
        <w:autoSpaceDE w:val="0"/>
        <w:autoSpaceDN w:val="0"/>
        <w:adjustRightInd w:val="0"/>
        <w:spacing w:line="360" w:lineRule="auto"/>
        <w:rPr>
          <w:szCs w:val="21"/>
        </w:rPr>
      </w:pPr>
      <w:r>
        <w:rPr>
          <w:szCs w:val="21"/>
        </w:rPr>
        <w:t xml:space="preserve">[4] </w:t>
      </w:r>
      <w:r>
        <w:fldChar w:fldCharType="begin"/>
      </w:r>
      <w:r>
        <w:instrText xml:space="preserve"> HYPERLINK "http://link.springer.com/" </w:instrText>
      </w:r>
      <w:r>
        <w:fldChar w:fldCharType="separate"/>
      </w:r>
      <w:r>
        <w:rPr>
          <w:szCs w:val="21"/>
        </w:rPr>
        <w:t>http://link.springer.com/</w:t>
      </w:r>
      <w:r>
        <w:rPr>
          <w:szCs w:val="21"/>
        </w:rPr>
        <w:fldChar w:fldCharType="end"/>
      </w:r>
      <w:r>
        <w:rPr>
          <w:szCs w:val="21"/>
        </w:rPr>
        <w:t>，山西大学图书馆.</w:t>
      </w:r>
    </w:p>
    <w:p>
      <w:pPr>
        <w:autoSpaceDE w:val="0"/>
        <w:autoSpaceDN w:val="0"/>
        <w:adjustRightInd w:val="0"/>
        <w:spacing w:line="360" w:lineRule="auto"/>
        <w:rPr>
          <w:szCs w:val="21"/>
        </w:rPr>
      </w:pPr>
      <w:r>
        <w:rPr>
          <w:szCs w:val="21"/>
        </w:rPr>
        <w:t xml:space="preserve">[5] </w:t>
      </w:r>
      <w:r>
        <w:fldChar w:fldCharType="begin"/>
      </w:r>
      <w:r>
        <w:instrText xml:space="preserve"> HYPERLINK "http://db.lib.tsinghua.edu.cn/siamlocus" </w:instrText>
      </w:r>
      <w:r>
        <w:fldChar w:fldCharType="separate"/>
      </w:r>
      <w:r>
        <w:rPr>
          <w:szCs w:val="21"/>
        </w:rPr>
        <w:t>http://db.lib.tsinghua.edu.cn/siamlocus</w:t>
      </w:r>
      <w:r>
        <w:rPr>
          <w:szCs w:val="21"/>
        </w:rPr>
        <w:fldChar w:fldCharType="end"/>
      </w:r>
      <w:r>
        <w:rPr>
          <w:szCs w:val="21"/>
        </w:rPr>
        <w:t>，山西大学图书馆.</w:t>
      </w:r>
    </w:p>
    <w:p>
      <w:pPr>
        <w:autoSpaceDE w:val="0"/>
        <w:autoSpaceDN w:val="0"/>
        <w:adjustRightInd w:val="0"/>
        <w:spacing w:line="360" w:lineRule="auto"/>
        <w:rPr>
          <w:szCs w:val="21"/>
        </w:rPr>
      </w:pPr>
      <w:r>
        <w:rPr>
          <w:szCs w:val="21"/>
        </w:rPr>
        <w:t xml:space="preserve">[6] </w:t>
      </w:r>
      <w:r>
        <w:fldChar w:fldCharType="begin"/>
      </w:r>
      <w:r>
        <w:instrText xml:space="preserve"> HYPERLINK "http://kluwer.calis.edu.cn/" </w:instrText>
      </w:r>
      <w:r>
        <w:fldChar w:fldCharType="separate"/>
      </w:r>
      <w:r>
        <w:rPr>
          <w:szCs w:val="21"/>
        </w:rPr>
        <w:t>http://kluwer.calis.edu.cn/</w:t>
      </w:r>
      <w:r>
        <w:rPr>
          <w:szCs w:val="21"/>
        </w:rPr>
        <w:fldChar w:fldCharType="end"/>
      </w:r>
      <w:r>
        <w:rPr>
          <w:szCs w:val="21"/>
        </w:rPr>
        <w:t>，山西大学图书馆.</w:t>
      </w:r>
      <w:bookmarkStart w:id="2" w:name="_GoBack"/>
      <w:bookmarkEnd w:id="2"/>
    </w:p>
    <w:p>
      <w:pPr>
        <w:autoSpaceDE w:val="0"/>
        <w:autoSpaceDN w:val="0"/>
        <w:adjustRightInd w:val="0"/>
        <w:spacing w:line="360" w:lineRule="auto"/>
        <w:rPr>
          <w:szCs w:val="21"/>
        </w:rPr>
      </w:pPr>
      <w:r>
        <w:rPr>
          <w:szCs w:val="21"/>
        </w:rPr>
        <w:t xml:space="preserve">[7] </w:t>
      </w:r>
      <w:r>
        <w:fldChar w:fldCharType="begin"/>
      </w:r>
      <w:r>
        <w:instrText xml:space="preserve"> HYPERLINK "https://www.tandfonline.com" </w:instrText>
      </w:r>
      <w:r>
        <w:fldChar w:fldCharType="separate"/>
      </w:r>
      <w:r>
        <w:rPr>
          <w:szCs w:val="21"/>
        </w:rPr>
        <w:t>https://www.tandfonline.com</w:t>
      </w:r>
      <w:r>
        <w:rPr>
          <w:szCs w:val="21"/>
        </w:rPr>
        <w:fldChar w:fldCharType="end"/>
      </w:r>
      <w:r>
        <w:rPr>
          <w:szCs w:val="21"/>
        </w:rPr>
        <w:t>, Taylor &amp; Francis</w:t>
      </w:r>
      <w:r>
        <w:rPr>
          <w:rFonts w:hint="eastAsia"/>
          <w:szCs w:val="21"/>
        </w:rPr>
        <w:t>网站.</w:t>
      </w:r>
    </w:p>
    <w:p>
      <w:pPr>
        <w:autoSpaceDE w:val="0"/>
        <w:autoSpaceDN w:val="0"/>
        <w:adjustRightInd w:val="0"/>
        <w:spacing w:line="360" w:lineRule="auto"/>
        <w:rPr>
          <w:szCs w:val="21"/>
        </w:rPr>
      </w:pPr>
      <w:r>
        <w:rPr>
          <w:rFonts w:hint="eastAsia"/>
          <w:szCs w:val="21"/>
        </w:rPr>
        <w:t xml:space="preserve">[8] </w:t>
      </w:r>
      <w:r>
        <w:fldChar w:fldCharType="begin"/>
      </w:r>
      <w:r>
        <w:instrText xml:space="preserve"> HYPERLINK "https://journals.aps.org," </w:instrText>
      </w:r>
      <w:r>
        <w:fldChar w:fldCharType="separate"/>
      </w:r>
      <w:r>
        <w:rPr>
          <w:rFonts w:hint="eastAsia"/>
          <w:szCs w:val="21"/>
        </w:rPr>
        <w:t>https://journals.aps.org,</w:t>
      </w:r>
      <w:r>
        <w:rPr>
          <w:rFonts w:hint="eastAsia"/>
          <w:szCs w:val="21"/>
        </w:rPr>
        <w:fldChar w:fldCharType="end"/>
      </w:r>
      <w:r>
        <w:rPr>
          <w:rFonts w:hint="eastAsia"/>
          <w:szCs w:val="21"/>
        </w:rPr>
        <w:t xml:space="preserve"> 美国物理学会期刊网站.</w:t>
      </w:r>
    </w:p>
    <w:p>
      <w:pPr>
        <w:autoSpaceDE w:val="0"/>
        <w:autoSpaceDN w:val="0"/>
        <w:adjustRightInd w:val="0"/>
        <w:spacing w:line="360" w:lineRule="auto"/>
        <w:rPr>
          <w:szCs w:val="21"/>
        </w:rPr>
      </w:pPr>
      <w:r>
        <w:rPr>
          <w:rFonts w:hint="eastAsia"/>
          <w:szCs w:val="21"/>
        </w:rPr>
        <w:t xml:space="preserve">[9] </w:t>
      </w:r>
      <w:r>
        <w:fldChar w:fldCharType="begin"/>
      </w:r>
      <w:r>
        <w:instrText xml:space="preserve"> HYPERLINK "https://www.ams.org/home/page," </w:instrText>
      </w:r>
      <w:r>
        <w:fldChar w:fldCharType="separate"/>
      </w:r>
      <w:r>
        <w:rPr>
          <w:rFonts w:hint="eastAsia"/>
          <w:szCs w:val="21"/>
        </w:rPr>
        <w:t>https://www.ams.org/home/page,</w:t>
      </w:r>
      <w:r>
        <w:rPr>
          <w:rFonts w:hint="eastAsia"/>
          <w:szCs w:val="21"/>
        </w:rPr>
        <w:fldChar w:fldCharType="end"/>
      </w:r>
      <w:r>
        <w:rPr>
          <w:rFonts w:hint="eastAsia"/>
          <w:szCs w:val="21"/>
        </w:rPr>
        <w:t xml:space="preserve"> 美国数学会网站.</w:t>
      </w:r>
    </w:p>
    <w:p>
      <w:pPr>
        <w:snapToGrid w:val="0"/>
        <w:spacing w:line="360" w:lineRule="auto"/>
        <w:rPr>
          <w:szCs w:val="21"/>
        </w:rPr>
      </w:pPr>
      <w:r>
        <w:rPr>
          <w:rFonts w:hint="eastAsia"/>
          <w:szCs w:val="21"/>
        </w:rPr>
        <w:t xml:space="preserve">[10] </w:t>
      </w:r>
      <w:r>
        <w:fldChar w:fldCharType="begin"/>
      </w:r>
      <w:r>
        <w:instrText xml:space="preserve"> HYPERLINK "http://iopscience.iop.org/journalList,IOP" </w:instrText>
      </w:r>
      <w:r>
        <w:fldChar w:fldCharType="separate"/>
      </w:r>
      <w:r>
        <w:rPr>
          <w:rFonts w:hint="eastAsia"/>
          <w:szCs w:val="21"/>
        </w:rPr>
        <w:t>https://aip.scitation.org/journal, AIP</w:t>
      </w:r>
      <w:r>
        <w:rPr>
          <w:rFonts w:hint="eastAsia"/>
          <w:szCs w:val="21"/>
        </w:rPr>
        <w:fldChar w:fldCharType="end"/>
      </w:r>
      <w:r>
        <w:rPr>
          <w:rFonts w:hint="eastAsia"/>
          <w:szCs w:val="21"/>
        </w:rPr>
        <w:t xml:space="preserve"> publisher期刊网站.</w:t>
      </w:r>
    </w:p>
    <w:p>
      <w:pPr>
        <w:autoSpaceDE w:val="0"/>
        <w:autoSpaceDN w:val="0"/>
        <w:adjustRightInd w:val="0"/>
        <w:spacing w:line="360" w:lineRule="auto"/>
        <w:jc w:val="left"/>
        <w:rPr>
          <w:rFonts w:ascii="黑体" w:hAnsi="黑体" w:eastAsia="黑体" w:cs="宋体"/>
          <w:kern w:val="0"/>
          <w:sz w:val="24"/>
        </w:rPr>
      </w:pPr>
      <w:r>
        <w:rPr>
          <w:rFonts w:hint="eastAsia" w:ascii="楷体" w:hAnsi="楷体" w:eastAsia="楷体"/>
          <w:kern w:val="0"/>
          <w:sz w:val="24"/>
        </w:rPr>
        <w:t>（</w:t>
      </w:r>
      <w:r>
        <w:rPr>
          <w:rFonts w:hint="eastAsia" w:ascii="黑体" w:hAnsi="黑体" w:eastAsia="黑体" w:cs="宋体"/>
          <w:kern w:val="0"/>
          <w:sz w:val="24"/>
        </w:rPr>
        <w:t>四）必读书目和学术期刊阅读具体考核办法</w:t>
      </w:r>
    </w:p>
    <w:p>
      <w:pPr>
        <w:autoSpaceDE w:val="0"/>
        <w:autoSpaceDN w:val="0"/>
        <w:adjustRightInd w:val="0"/>
        <w:spacing w:line="360" w:lineRule="auto"/>
        <w:ind w:firstLine="420" w:firstLineChars="200"/>
        <w:jc w:val="left"/>
        <w:rPr>
          <w:szCs w:val="21"/>
        </w:rPr>
      </w:pPr>
      <w:r>
        <w:rPr>
          <w:rFonts w:hint="eastAsia"/>
          <w:szCs w:val="21"/>
        </w:rPr>
        <w:t>博士研究生在读期间，必须认真阅读至少四本必读书目以及必读期刊中与研究相关的学术论文，并提交书面报告或做总结汇报，最后由导师给出评语或成绩。</w:t>
      </w:r>
    </w:p>
    <w:p>
      <w:pPr>
        <w:tabs>
          <w:tab w:val="left" w:pos="4680"/>
        </w:tabs>
        <w:spacing w:line="360" w:lineRule="auto"/>
        <w:ind w:firstLine="435"/>
      </w:pPr>
    </w:p>
    <w:sectPr>
      <w:pgSz w:w="11906" w:h="16838"/>
      <w:pgMar w:top="1474" w:right="1531" w:bottom="147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兰亭宋">
    <w:altName w:val="宋体"/>
    <w:panose1 w:val="00000000000000000000"/>
    <w:charset w:val="86"/>
    <w:family w:val="roma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EDE15D"/>
    <w:multiLevelType w:val="singleLevel"/>
    <w:tmpl w:val="DEEDE15D"/>
    <w:lvl w:ilvl="0" w:tentative="0">
      <w:start w:val="3"/>
      <w:numFmt w:val="decimal"/>
      <w:lvlText w:val="%1."/>
      <w:lvlJc w:val="left"/>
      <w:pPr>
        <w:tabs>
          <w:tab w:val="left" w:pos="312"/>
        </w:tabs>
      </w:pPr>
    </w:lvl>
  </w:abstractNum>
  <w:abstractNum w:abstractNumId="1">
    <w:nsid w:val="F67D8F5D"/>
    <w:multiLevelType w:val="singleLevel"/>
    <w:tmpl w:val="F67D8F5D"/>
    <w:lvl w:ilvl="0" w:tentative="0">
      <w:start w:val="4"/>
      <w:numFmt w:val="chineseCounting"/>
      <w:suff w:val="nothing"/>
      <w:lvlText w:val="%1、"/>
      <w:lvlJc w:val="left"/>
      <w:rPr>
        <w:rFonts w:hint="eastAsia"/>
      </w:rPr>
    </w:lvl>
  </w:abstractNum>
  <w:abstractNum w:abstractNumId="2">
    <w:nsid w:val="01A51E22"/>
    <w:multiLevelType w:val="singleLevel"/>
    <w:tmpl w:val="01A51E22"/>
    <w:lvl w:ilvl="0" w:tentative="0">
      <w:start w:val="1"/>
      <w:numFmt w:val="decimal"/>
      <w:suff w:val="nothing"/>
      <w:lvlText w:val="%1．"/>
      <w:lvlJc w:val="left"/>
    </w:lvl>
  </w:abstractNum>
  <w:abstractNum w:abstractNumId="3">
    <w:nsid w:val="38026CDB"/>
    <w:multiLevelType w:val="singleLevel"/>
    <w:tmpl w:val="38026CDB"/>
    <w:lvl w:ilvl="0" w:tentative="0">
      <w:start w:val="1"/>
      <w:numFmt w:val="decimal"/>
      <w:lvlText w:val="%1."/>
      <w:lvlJc w:val="left"/>
      <w:pPr>
        <w:tabs>
          <w:tab w:val="left" w:pos="312"/>
        </w:tabs>
      </w:pPr>
    </w:lvl>
  </w:abstractNum>
  <w:abstractNum w:abstractNumId="4">
    <w:nsid w:val="5BAA4D26"/>
    <w:multiLevelType w:val="multilevel"/>
    <w:tmpl w:val="5BAA4D26"/>
    <w:lvl w:ilvl="0" w:tentative="0">
      <w:start w:val="1"/>
      <w:numFmt w:val="decimal"/>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
    <w:nsid w:val="742B7604"/>
    <w:multiLevelType w:val="multilevel"/>
    <w:tmpl w:val="742B7604"/>
    <w:lvl w:ilvl="0" w:tentative="0">
      <w:start w:val="1"/>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98F"/>
    <w:rsid w:val="00015EB5"/>
    <w:rsid w:val="00023F7B"/>
    <w:rsid w:val="000376F4"/>
    <w:rsid w:val="000440C0"/>
    <w:rsid w:val="00063463"/>
    <w:rsid w:val="0008576E"/>
    <w:rsid w:val="00085F6F"/>
    <w:rsid w:val="000A23EA"/>
    <w:rsid w:val="000A65AE"/>
    <w:rsid w:val="000C6450"/>
    <w:rsid w:val="000D1742"/>
    <w:rsid w:val="000D6E8F"/>
    <w:rsid w:val="00116370"/>
    <w:rsid w:val="0013730A"/>
    <w:rsid w:val="0015000D"/>
    <w:rsid w:val="00166148"/>
    <w:rsid w:val="00172A27"/>
    <w:rsid w:val="00172A54"/>
    <w:rsid w:val="00194B85"/>
    <w:rsid w:val="001A13FB"/>
    <w:rsid w:val="001D3F11"/>
    <w:rsid w:val="001E1813"/>
    <w:rsid w:val="00206399"/>
    <w:rsid w:val="00213793"/>
    <w:rsid w:val="00226478"/>
    <w:rsid w:val="00233658"/>
    <w:rsid w:val="00240D27"/>
    <w:rsid w:val="002552C4"/>
    <w:rsid w:val="00280D8D"/>
    <w:rsid w:val="002841ED"/>
    <w:rsid w:val="00291CF9"/>
    <w:rsid w:val="002A30DA"/>
    <w:rsid w:val="002A7D72"/>
    <w:rsid w:val="002B5518"/>
    <w:rsid w:val="002B6C4F"/>
    <w:rsid w:val="002C1FA8"/>
    <w:rsid w:val="002E2A87"/>
    <w:rsid w:val="003340CC"/>
    <w:rsid w:val="003430F7"/>
    <w:rsid w:val="003478B3"/>
    <w:rsid w:val="00361AC8"/>
    <w:rsid w:val="003754DB"/>
    <w:rsid w:val="00377D3E"/>
    <w:rsid w:val="003B162E"/>
    <w:rsid w:val="003B1B08"/>
    <w:rsid w:val="003C066A"/>
    <w:rsid w:val="003E4284"/>
    <w:rsid w:val="003E6FB8"/>
    <w:rsid w:val="003F22DF"/>
    <w:rsid w:val="004009DD"/>
    <w:rsid w:val="00477AC7"/>
    <w:rsid w:val="004B04E3"/>
    <w:rsid w:val="004D2DF2"/>
    <w:rsid w:val="004D43BE"/>
    <w:rsid w:val="004E4A13"/>
    <w:rsid w:val="0051158D"/>
    <w:rsid w:val="005361DE"/>
    <w:rsid w:val="00542DC7"/>
    <w:rsid w:val="00575B20"/>
    <w:rsid w:val="0057795C"/>
    <w:rsid w:val="00593556"/>
    <w:rsid w:val="005C5BF6"/>
    <w:rsid w:val="005D0557"/>
    <w:rsid w:val="005D1887"/>
    <w:rsid w:val="005D216B"/>
    <w:rsid w:val="006021BE"/>
    <w:rsid w:val="00603FC0"/>
    <w:rsid w:val="00623831"/>
    <w:rsid w:val="006316E1"/>
    <w:rsid w:val="00634DCD"/>
    <w:rsid w:val="00652688"/>
    <w:rsid w:val="00664A19"/>
    <w:rsid w:val="00664BD4"/>
    <w:rsid w:val="00671115"/>
    <w:rsid w:val="006750B3"/>
    <w:rsid w:val="00694E42"/>
    <w:rsid w:val="006D0E29"/>
    <w:rsid w:val="006E7D07"/>
    <w:rsid w:val="00714C2F"/>
    <w:rsid w:val="0074602B"/>
    <w:rsid w:val="00762E48"/>
    <w:rsid w:val="00793154"/>
    <w:rsid w:val="007C68CE"/>
    <w:rsid w:val="007D0BB2"/>
    <w:rsid w:val="007E6914"/>
    <w:rsid w:val="00804CC2"/>
    <w:rsid w:val="0081602D"/>
    <w:rsid w:val="0082640C"/>
    <w:rsid w:val="00826BDE"/>
    <w:rsid w:val="00854CA0"/>
    <w:rsid w:val="008A5054"/>
    <w:rsid w:val="008A64A0"/>
    <w:rsid w:val="008E5501"/>
    <w:rsid w:val="008F1C51"/>
    <w:rsid w:val="00941B9D"/>
    <w:rsid w:val="00972366"/>
    <w:rsid w:val="009A1E65"/>
    <w:rsid w:val="009B15CC"/>
    <w:rsid w:val="009C32C8"/>
    <w:rsid w:val="009D2B94"/>
    <w:rsid w:val="00A96EBD"/>
    <w:rsid w:val="00AA3C7C"/>
    <w:rsid w:val="00AB34EA"/>
    <w:rsid w:val="00AE0C74"/>
    <w:rsid w:val="00B26D9E"/>
    <w:rsid w:val="00B27FE5"/>
    <w:rsid w:val="00B31F4B"/>
    <w:rsid w:val="00B46C29"/>
    <w:rsid w:val="00B5139D"/>
    <w:rsid w:val="00B64DD0"/>
    <w:rsid w:val="00B709E0"/>
    <w:rsid w:val="00B70E07"/>
    <w:rsid w:val="00B97BBF"/>
    <w:rsid w:val="00BA6931"/>
    <w:rsid w:val="00BA745F"/>
    <w:rsid w:val="00BB2616"/>
    <w:rsid w:val="00BC0DAA"/>
    <w:rsid w:val="00BC15E0"/>
    <w:rsid w:val="00CB05FC"/>
    <w:rsid w:val="00CB529F"/>
    <w:rsid w:val="00CB724D"/>
    <w:rsid w:val="00CC4225"/>
    <w:rsid w:val="00CD35F7"/>
    <w:rsid w:val="00CD416B"/>
    <w:rsid w:val="00CF2AB5"/>
    <w:rsid w:val="00CF7C5F"/>
    <w:rsid w:val="00D35125"/>
    <w:rsid w:val="00D75291"/>
    <w:rsid w:val="00D848A2"/>
    <w:rsid w:val="00DB1EC9"/>
    <w:rsid w:val="00DC5241"/>
    <w:rsid w:val="00DC72DA"/>
    <w:rsid w:val="00DE25E2"/>
    <w:rsid w:val="00E049F7"/>
    <w:rsid w:val="00E2173C"/>
    <w:rsid w:val="00E264D0"/>
    <w:rsid w:val="00E318D1"/>
    <w:rsid w:val="00E509B5"/>
    <w:rsid w:val="00E52B76"/>
    <w:rsid w:val="00E60BB1"/>
    <w:rsid w:val="00ED0992"/>
    <w:rsid w:val="00EF16F6"/>
    <w:rsid w:val="00EF2F10"/>
    <w:rsid w:val="00F06E67"/>
    <w:rsid w:val="00F4586E"/>
    <w:rsid w:val="00F46E4B"/>
    <w:rsid w:val="00F51E04"/>
    <w:rsid w:val="00F667B4"/>
    <w:rsid w:val="00F70A10"/>
    <w:rsid w:val="00F86E60"/>
    <w:rsid w:val="00F87866"/>
    <w:rsid w:val="00F95555"/>
    <w:rsid w:val="00FA3E41"/>
    <w:rsid w:val="00FC4CE5"/>
    <w:rsid w:val="00FE044B"/>
    <w:rsid w:val="00FE2FED"/>
    <w:rsid w:val="00FF08C1"/>
    <w:rsid w:val="00FF2C26"/>
    <w:rsid w:val="02A11CFC"/>
    <w:rsid w:val="02B25139"/>
    <w:rsid w:val="02B502BA"/>
    <w:rsid w:val="02C94B70"/>
    <w:rsid w:val="04492358"/>
    <w:rsid w:val="0457029D"/>
    <w:rsid w:val="04F40891"/>
    <w:rsid w:val="054267B6"/>
    <w:rsid w:val="058553E7"/>
    <w:rsid w:val="05927DE5"/>
    <w:rsid w:val="06344C4C"/>
    <w:rsid w:val="06592F5A"/>
    <w:rsid w:val="0700182E"/>
    <w:rsid w:val="071977ED"/>
    <w:rsid w:val="07407CFA"/>
    <w:rsid w:val="07B772F8"/>
    <w:rsid w:val="07B927C0"/>
    <w:rsid w:val="07D06645"/>
    <w:rsid w:val="07E67B4F"/>
    <w:rsid w:val="08475B8F"/>
    <w:rsid w:val="089F172F"/>
    <w:rsid w:val="095C78E4"/>
    <w:rsid w:val="09677F6F"/>
    <w:rsid w:val="09704623"/>
    <w:rsid w:val="097C5F90"/>
    <w:rsid w:val="09CE7D4B"/>
    <w:rsid w:val="09F47675"/>
    <w:rsid w:val="0A4B05EF"/>
    <w:rsid w:val="0B2038B6"/>
    <w:rsid w:val="0B2A7A8D"/>
    <w:rsid w:val="0B3C7CEB"/>
    <w:rsid w:val="0B4C57BC"/>
    <w:rsid w:val="0C546A80"/>
    <w:rsid w:val="0CCF6243"/>
    <w:rsid w:val="0CFF086A"/>
    <w:rsid w:val="0DFF356B"/>
    <w:rsid w:val="0E4666B4"/>
    <w:rsid w:val="0E775E59"/>
    <w:rsid w:val="0E7B617F"/>
    <w:rsid w:val="0EC50312"/>
    <w:rsid w:val="0EF312F5"/>
    <w:rsid w:val="0F907FB5"/>
    <w:rsid w:val="0FC55A59"/>
    <w:rsid w:val="0FCC25D3"/>
    <w:rsid w:val="0FD11069"/>
    <w:rsid w:val="100A146A"/>
    <w:rsid w:val="102E0642"/>
    <w:rsid w:val="10311F4B"/>
    <w:rsid w:val="108058ED"/>
    <w:rsid w:val="111D2685"/>
    <w:rsid w:val="11CC6C35"/>
    <w:rsid w:val="11F36B75"/>
    <w:rsid w:val="11FA2EEB"/>
    <w:rsid w:val="12805FA6"/>
    <w:rsid w:val="128877CB"/>
    <w:rsid w:val="12CA3EAF"/>
    <w:rsid w:val="12F232E7"/>
    <w:rsid w:val="131F5500"/>
    <w:rsid w:val="13207FCC"/>
    <w:rsid w:val="137A6DC9"/>
    <w:rsid w:val="14012EC2"/>
    <w:rsid w:val="14047E9B"/>
    <w:rsid w:val="146C6323"/>
    <w:rsid w:val="14F51237"/>
    <w:rsid w:val="157226D9"/>
    <w:rsid w:val="15B43C0B"/>
    <w:rsid w:val="15F37931"/>
    <w:rsid w:val="172D4AB8"/>
    <w:rsid w:val="17305EC0"/>
    <w:rsid w:val="17446600"/>
    <w:rsid w:val="1824129A"/>
    <w:rsid w:val="19704ED2"/>
    <w:rsid w:val="19FF0C60"/>
    <w:rsid w:val="1AC63A2F"/>
    <w:rsid w:val="1B1662A4"/>
    <w:rsid w:val="1B1968D2"/>
    <w:rsid w:val="1B337DF6"/>
    <w:rsid w:val="1B595EF5"/>
    <w:rsid w:val="1BA83FA7"/>
    <w:rsid w:val="1C4850C0"/>
    <w:rsid w:val="1C6A150C"/>
    <w:rsid w:val="1C6B1E67"/>
    <w:rsid w:val="1C843789"/>
    <w:rsid w:val="1CF379B7"/>
    <w:rsid w:val="1CF56C3D"/>
    <w:rsid w:val="1D9507B9"/>
    <w:rsid w:val="1E0A1705"/>
    <w:rsid w:val="1E260880"/>
    <w:rsid w:val="1E3859AE"/>
    <w:rsid w:val="1E9A0363"/>
    <w:rsid w:val="1EC70D72"/>
    <w:rsid w:val="1F572D21"/>
    <w:rsid w:val="1F620D01"/>
    <w:rsid w:val="1F7C4766"/>
    <w:rsid w:val="20503965"/>
    <w:rsid w:val="21E31462"/>
    <w:rsid w:val="22046791"/>
    <w:rsid w:val="221E189A"/>
    <w:rsid w:val="22DE740A"/>
    <w:rsid w:val="22F769C8"/>
    <w:rsid w:val="23836FF6"/>
    <w:rsid w:val="238838CD"/>
    <w:rsid w:val="245532EE"/>
    <w:rsid w:val="24624ECC"/>
    <w:rsid w:val="24DA1B2E"/>
    <w:rsid w:val="253203FA"/>
    <w:rsid w:val="254F0A38"/>
    <w:rsid w:val="25525E4E"/>
    <w:rsid w:val="258E2A2A"/>
    <w:rsid w:val="259F4D49"/>
    <w:rsid w:val="25FF31C2"/>
    <w:rsid w:val="267F1FC5"/>
    <w:rsid w:val="26BE4CEC"/>
    <w:rsid w:val="27C80A1F"/>
    <w:rsid w:val="28982505"/>
    <w:rsid w:val="289C3C1F"/>
    <w:rsid w:val="28B42E7D"/>
    <w:rsid w:val="28F33FDD"/>
    <w:rsid w:val="29873035"/>
    <w:rsid w:val="29EA4376"/>
    <w:rsid w:val="29FD43A7"/>
    <w:rsid w:val="2A4E0AB3"/>
    <w:rsid w:val="2A4E6781"/>
    <w:rsid w:val="2A5D7C27"/>
    <w:rsid w:val="2A9613D9"/>
    <w:rsid w:val="2AB07F6D"/>
    <w:rsid w:val="2AEB2664"/>
    <w:rsid w:val="2B1B691A"/>
    <w:rsid w:val="2B4A5872"/>
    <w:rsid w:val="2B597E00"/>
    <w:rsid w:val="2BBD626F"/>
    <w:rsid w:val="2BD47248"/>
    <w:rsid w:val="2D011CC3"/>
    <w:rsid w:val="2D075953"/>
    <w:rsid w:val="2D6B2CD0"/>
    <w:rsid w:val="2D80758D"/>
    <w:rsid w:val="2D984546"/>
    <w:rsid w:val="2DAC3EB5"/>
    <w:rsid w:val="2E4E65B7"/>
    <w:rsid w:val="2E992A6E"/>
    <w:rsid w:val="2E9C69AE"/>
    <w:rsid w:val="2F7D6AA9"/>
    <w:rsid w:val="300213D8"/>
    <w:rsid w:val="30935854"/>
    <w:rsid w:val="30DD1BD5"/>
    <w:rsid w:val="316450B7"/>
    <w:rsid w:val="32183012"/>
    <w:rsid w:val="32B027BE"/>
    <w:rsid w:val="32D258F0"/>
    <w:rsid w:val="33826B0A"/>
    <w:rsid w:val="33D44947"/>
    <w:rsid w:val="340D042C"/>
    <w:rsid w:val="345308A6"/>
    <w:rsid w:val="34D37A30"/>
    <w:rsid w:val="36995364"/>
    <w:rsid w:val="36D21510"/>
    <w:rsid w:val="37241EB9"/>
    <w:rsid w:val="37BE60EE"/>
    <w:rsid w:val="384F6BBA"/>
    <w:rsid w:val="38561C60"/>
    <w:rsid w:val="39BE0E86"/>
    <w:rsid w:val="3A084F85"/>
    <w:rsid w:val="3A496A21"/>
    <w:rsid w:val="3A7404D5"/>
    <w:rsid w:val="3AAB746A"/>
    <w:rsid w:val="3B2E6FEB"/>
    <w:rsid w:val="3B8E7665"/>
    <w:rsid w:val="3B9F56D9"/>
    <w:rsid w:val="3C1E19EF"/>
    <w:rsid w:val="3C45079E"/>
    <w:rsid w:val="3C5722F8"/>
    <w:rsid w:val="3C88637E"/>
    <w:rsid w:val="3D921CCD"/>
    <w:rsid w:val="3E034A51"/>
    <w:rsid w:val="3E1C1CB3"/>
    <w:rsid w:val="3E2841E9"/>
    <w:rsid w:val="3E753094"/>
    <w:rsid w:val="3E7C3876"/>
    <w:rsid w:val="3EED61C3"/>
    <w:rsid w:val="3F124035"/>
    <w:rsid w:val="3FD517C0"/>
    <w:rsid w:val="401753D0"/>
    <w:rsid w:val="405B2154"/>
    <w:rsid w:val="406707D0"/>
    <w:rsid w:val="40730848"/>
    <w:rsid w:val="40854283"/>
    <w:rsid w:val="408E6386"/>
    <w:rsid w:val="40962046"/>
    <w:rsid w:val="40F66EF9"/>
    <w:rsid w:val="41A13828"/>
    <w:rsid w:val="41E56B4C"/>
    <w:rsid w:val="41EE2F54"/>
    <w:rsid w:val="41F075EA"/>
    <w:rsid w:val="42465117"/>
    <w:rsid w:val="42661E13"/>
    <w:rsid w:val="42932FBE"/>
    <w:rsid w:val="429B2E4C"/>
    <w:rsid w:val="434674C7"/>
    <w:rsid w:val="43945B33"/>
    <w:rsid w:val="43B53B0D"/>
    <w:rsid w:val="43B6182C"/>
    <w:rsid w:val="43C01DCD"/>
    <w:rsid w:val="440C26A4"/>
    <w:rsid w:val="446E5C33"/>
    <w:rsid w:val="45BC4F7B"/>
    <w:rsid w:val="45EA6036"/>
    <w:rsid w:val="45FC2B4A"/>
    <w:rsid w:val="46030946"/>
    <w:rsid w:val="46607CE7"/>
    <w:rsid w:val="46A65ED5"/>
    <w:rsid w:val="475D2571"/>
    <w:rsid w:val="47973481"/>
    <w:rsid w:val="47B203C1"/>
    <w:rsid w:val="47BC469C"/>
    <w:rsid w:val="47CD2844"/>
    <w:rsid w:val="47DC5121"/>
    <w:rsid w:val="47E52EFF"/>
    <w:rsid w:val="48741EE5"/>
    <w:rsid w:val="49202F69"/>
    <w:rsid w:val="49661A58"/>
    <w:rsid w:val="4970006E"/>
    <w:rsid w:val="498B262C"/>
    <w:rsid w:val="49A605C5"/>
    <w:rsid w:val="4A2E7C2D"/>
    <w:rsid w:val="4A40645A"/>
    <w:rsid w:val="4A515C36"/>
    <w:rsid w:val="4AC21CFC"/>
    <w:rsid w:val="4B641F63"/>
    <w:rsid w:val="4B812B2A"/>
    <w:rsid w:val="4BB4335D"/>
    <w:rsid w:val="4C0D04FE"/>
    <w:rsid w:val="4C210458"/>
    <w:rsid w:val="4C773AE3"/>
    <w:rsid w:val="4C833FC2"/>
    <w:rsid w:val="4CC21829"/>
    <w:rsid w:val="4CC604B5"/>
    <w:rsid w:val="4D1A64BC"/>
    <w:rsid w:val="4D747225"/>
    <w:rsid w:val="4D8C6C49"/>
    <w:rsid w:val="4DCE4C37"/>
    <w:rsid w:val="4DFB7459"/>
    <w:rsid w:val="4E130227"/>
    <w:rsid w:val="4E4B1AB0"/>
    <w:rsid w:val="4E63525A"/>
    <w:rsid w:val="4E7F07D6"/>
    <w:rsid w:val="4EED25CA"/>
    <w:rsid w:val="4FDB73E3"/>
    <w:rsid w:val="51243F30"/>
    <w:rsid w:val="51D13938"/>
    <w:rsid w:val="52084706"/>
    <w:rsid w:val="52287B87"/>
    <w:rsid w:val="52767D81"/>
    <w:rsid w:val="52932E23"/>
    <w:rsid w:val="52BF70A2"/>
    <w:rsid w:val="532C48AD"/>
    <w:rsid w:val="53A26F35"/>
    <w:rsid w:val="53DD44EC"/>
    <w:rsid w:val="548710D8"/>
    <w:rsid w:val="5487787D"/>
    <w:rsid w:val="54B30BDE"/>
    <w:rsid w:val="54C3362C"/>
    <w:rsid w:val="54E139BE"/>
    <w:rsid w:val="55720D9A"/>
    <w:rsid w:val="55840C37"/>
    <w:rsid w:val="55A91CCA"/>
    <w:rsid w:val="56231F02"/>
    <w:rsid w:val="566132FF"/>
    <w:rsid w:val="56925E6F"/>
    <w:rsid w:val="57130DA9"/>
    <w:rsid w:val="57346BA5"/>
    <w:rsid w:val="57465066"/>
    <w:rsid w:val="579A0055"/>
    <w:rsid w:val="57D86511"/>
    <w:rsid w:val="57DC4997"/>
    <w:rsid w:val="58BC33F5"/>
    <w:rsid w:val="595B7F41"/>
    <w:rsid w:val="59844C05"/>
    <w:rsid w:val="59AF3BDF"/>
    <w:rsid w:val="5A096059"/>
    <w:rsid w:val="5A123B56"/>
    <w:rsid w:val="5A792F06"/>
    <w:rsid w:val="5A936BFD"/>
    <w:rsid w:val="5A9506F7"/>
    <w:rsid w:val="5AA1251D"/>
    <w:rsid w:val="5AC974D8"/>
    <w:rsid w:val="5ADE3D4F"/>
    <w:rsid w:val="5B3C01A8"/>
    <w:rsid w:val="5B9D3A1F"/>
    <w:rsid w:val="5BEE6340"/>
    <w:rsid w:val="5CA30C7E"/>
    <w:rsid w:val="5CA83991"/>
    <w:rsid w:val="5CD5749E"/>
    <w:rsid w:val="5CDE598C"/>
    <w:rsid w:val="5D622525"/>
    <w:rsid w:val="5DE324D3"/>
    <w:rsid w:val="5DEA27AB"/>
    <w:rsid w:val="5E134C78"/>
    <w:rsid w:val="5EA131EB"/>
    <w:rsid w:val="5F4B6C27"/>
    <w:rsid w:val="5FA80DB6"/>
    <w:rsid w:val="5FEA6218"/>
    <w:rsid w:val="60790B84"/>
    <w:rsid w:val="60CE0E2B"/>
    <w:rsid w:val="61525257"/>
    <w:rsid w:val="618D76E0"/>
    <w:rsid w:val="6194387A"/>
    <w:rsid w:val="620A50E2"/>
    <w:rsid w:val="62200F0A"/>
    <w:rsid w:val="62293567"/>
    <w:rsid w:val="639C1398"/>
    <w:rsid w:val="63A47D78"/>
    <w:rsid w:val="64386CCB"/>
    <w:rsid w:val="648B067E"/>
    <w:rsid w:val="649E5F5C"/>
    <w:rsid w:val="64CB2F35"/>
    <w:rsid w:val="64F16F2C"/>
    <w:rsid w:val="653E5701"/>
    <w:rsid w:val="65765B1A"/>
    <w:rsid w:val="661220B8"/>
    <w:rsid w:val="664D5B89"/>
    <w:rsid w:val="66CF6C3E"/>
    <w:rsid w:val="673C3132"/>
    <w:rsid w:val="6769590A"/>
    <w:rsid w:val="67DC0F4E"/>
    <w:rsid w:val="67F944C7"/>
    <w:rsid w:val="681C24F6"/>
    <w:rsid w:val="681F621E"/>
    <w:rsid w:val="683F7CCF"/>
    <w:rsid w:val="685C5135"/>
    <w:rsid w:val="685D3BD2"/>
    <w:rsid w:val="690A3786"/>
    <w:rsid w:val="691946FA"/>
    <w:rsid w:val="6A342CAD"/>
    <w:rsid w:val="6A795365"/>
    <w:rsid w:val="6A8D27FB"/>
    <w:rsid w:val="6A921772"/>
    <w:rsid w:val="6BF47FD9"/>
    <w:rsid w:val="6C164163"/>
    <w:rsid w:val="6CA76F51"/>
    <w:rsid w:val="6CB736FC"/>
    <w:rsid w:val="6D5D401E"/>
    <w:rsid w:val="6D684C3B"/>
    <w:rsid w:val="6D761ACB"/>
    <w:rsid w:val="6DC64549"/>
    <w:rsid w:val="6DCE044D"/>
    <w:rsid w:val="6EE82BF9"/>
    <w:rsid w:val="6F0560AF"/>
    <w:rsid w:val="6F470679"/>
    <w:rsid w:val="6F5F6E2C"/>
    <w:rsid w:val="6F7866A7"/>
    <w:rsid w:val="703B0B69"/>
    <w:rsid w:val="707813D7"/>
    <w:rsid w:val="710857F5"/>
    <w:rsid w:val="713B1620"/>
    <w:rsid w:val="715C4C30"/>
    <w:rsid w:val="718C5BDE"/>
    <w:rsid w:val="71A11FE3"/>
    <w:rsid w:val="71D8616A"/>
    <w:rsid w:val="71E01FC3"/>
    <w:rsid w:val="720E7701"/>
    <w:rsid w:val="723E2261"/>
    <w:rsid w:val="72573D9F"/>
    <w:rsid w:val="734B031A"/>
    <w:rsid w:val="73EC3266"/>
    <w:rsid w:val="74355539"/>
    <w:rsid w:val="75753EAB"/>
    <w:rsid w:val="759C5339"/>
    <w:rsid w:val="75B113AC"/>
    <w:rsid w:val="75CE359D"/>
    <w:rsid w:val="76931180"/>
    <w:rsid w:val="76C33D66"/>
    <w:rsid w:val="773F6873"/>
    <w:rsid w:val="77E76A63"/>
    <w:rsid w:val="782706ED"/>
    <w:rsid w:val="78661604"/>
    <w:rsid w:val="78BE6A30"/>
    <w:rsid w:val="795A3E69"/>
    <w:rsid w:val="7A0717C7"/>
    <w:rsid w:val="7A3E3860"/>
    <w:rsid w:val="7A686591"/>
    <w:rsid w:val="7A743AC5"/>
    <w:rsid w:val="7B0167BB"/>
    <w:rsid w:val="7B4D6868"/>
    <w:rsid w:val="7B8404C4"/>
    <w:rsid w:val="7C2E593F"/>
    <w:rsid w:val="7C4D691C"/>
    <w:rsid w:val="7CB2292F"/>
    <w:rsid w:val="7DD26360"/>
    <w:rsid w:val="7EAE5A59"/>
    <w:rsid w:val="7EF35CBA"/>
    <w:rsid w:val="7FE368B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semiHidden="0" w:name="Balloon Text"/>
    <w:lsdException w:unhideWhenUsed="0" w:uiPriority="5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widowControl/>
      <w:jc w:val="left"/>
      <w:outlineLvl w:val="0"/>
    </w:pPr>
    <w:rPr>
      <w:color w:val="035289"/>
      <w:kern w:val="36"/>
      <w:sz w:val="33"/>
      <w:szCs w:val="33"/>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23"/>
    <w:qFormat/>
    <w:uiPriority w:val="99"/>
    <w:rPr>
      <w:rFonts w:ascii="宋体" w:hAnsi="Courier New"/>
      <w:szCs w:val="20"/>
    </w:rPr>
  </w:style>
  <w:style w:type="paragraph" w:styleId="4">
    <w:name w:val="Date"/>
    <w:basedOn w:val="1"/>
    <w:next w:val="1"/>
    <w:link w:val="20"/>
    <w:qFormat/>
    <w:uiPriority w:val="99"/>
    <w:rPr>
      <w:szCs w:val="20"/>
    </w:rPr>
  </w:style>
  <w:style w:type="paragraph" w:styleId="5">
    <w:name w:val="Body Text Indent 2"/>
    <w:basedOn w:val="1"/>
    <w:link w:val="25"/>
    <w:semiHidden/>
    <w:qFormat/>
    <w:uiPriority w:val="99"/>
    <w:pPr>
      <w:spacing w:after="120" w:line="480" w:lineRule="auto"/>
      <w:ind w:left="420"/>
    </w:pPr>
  </w:style>
  <w:style w:type="paragraph" w:styleId="6">
    <w:name w:val="Balloon Text"/>
    <w:basedOn w:val="1"/>
    <w:link w:val="22"/>
    <w:qFormat/>
    <w:uiPriority w:val="99"/>
    <w:rPr>
      <w:sz w:val="18"/>
      <w:szCs w:val="18"/>
    </w:rPr>
  </w:style>
  <w:style w:type="paragraph" w:styleId="7">
    <w:name w:val="footer"/>
    <w:basedOn w:val="1"/>
    <w:link w:val="21"/>
    <w:qFormat/>
    <w:uiPriority w:val="99"/>
    <w:pPr>
      <w:tabs>
        <w:tab w:val="center" w:pos="4153"/>
        <w:tab w:val="right" w:pos="8306"/>
      </w:tabs>
      <w:snapToGrid w:val="0"/>
      <w:jc w:val="left"/>
    </w:pPr>
    <w:rPr>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link w:val="18"/>
    <w:qFormat/>
    <w:uiPriority w:val="99"/>
    <w:pPr>
      <w:jc w:val="center"/>
    </w:pPr>
    <w:rPr>
      <w:sz w:val="28"/>
      <w:lang w:val="en-GB"/>
    </w:rPr>
  </w:style>
  <w:style w:type="character" w:styleId="14">
    <w:name w:val="Strong"/>
    <w:basedOn w:val="13"/>
    <w:qFormat/>
    <w:uiPriority w:val="99"/>
    <w:rPr>
      <w:rFonts w:cs="Times New Roman"/>
      <w:b/>
      <w:bCs/>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customStyle="1" w:styleId="17">
    <w:name w:val="标题 1 字符"/>
    <w:basedOn w:val="13"/>
    <w:link w:val="2"/>
    <w:qFormat/>
    <w:uiPriority w:val="9"/>
    <w:rPr>
      <w:b/>
      <w:bCs/>
      <w:kern w:val="44"/>
      <w:sz w:val="44"/>
      <w:szCs w:val="44"/>
    </w:rPr>
  </w:style>
  <w:style w:type="character" w:customStyle="1" w:styleId="18">
    <w:name w:val="标题 字符"/>
    <w:basedOn w:val="13"/>
    <w:link w:val="11"/>
    <w:qFormat/>
    <w:uiPriority w:val="10"/>
    <w:rPr>
      <w:rFonts w:asciiTheme="majorHAnsi" w:hAnsiTheme="majorHAnsi" w:cstheme="majorBidi"/>
      <w:b/>
      <w:bCs/>
      <w:sz w:val="32"/>
      <w:szCs w:val="32"/>
    </w:rPr>
  </w:style>
  <w:style w:type="character" w:customStyle="1" w:styleId="19">
    <w:name w:val="页眉 字符"/>
    <w:basedOn w:val="13"/>
    <w:link w:val="8"/>
    <w:semiHidden/>
    <w:qFormat/>
    <w:uiPriority w:val="99"/>
    <w:rPr>
      <w:sz w:val="18"/>
      <w:szCs w:val="18"/>
    </w:rPr>
  </w:style>
  <w:style w:type="character" w:customStyle="1" w:styleId="20">
    <w:name w:val="日期 字符"/>
    <w:basedOn w:val="13"/>
    <w:link w:val="4"/>
    <w:semiHidden/>
    <w:qFormat/>
    <w:uiPriority w:val="99"/>
    <w:rPr>
      <w:szCs w:val="24"/>
    </w:rPr>
  </w:style>
  <w:style w:type="character" w:customStyle="1" w:styleId="21">
    <w:name w:val="页脚 字符"/>
    <w:basedOn w:val="13"/>
    <w:link w:val="7"/>
    <w:semiHidden/>
    <w:qFormat/>
    <w:uiPriority w:val="99"/>
    <w:rPr>
      <w:sz w:val="18"/>
      <w:szCs w:val="18"/>
    </w:rPr>
  </w:style>
  <w:style w:type="character" w:customStyle="1" w:styleId="22">
    <w:name w:val="批注框文本 字符"/>
    <w:basedOn w:val="13"/>
    <w:link w:val="6"/>
    <w:semiHidden/>
    <w:qFormat/>
    <w:uiPriority w:val="99"/>
    <w:rPr>
      <w:sz w:val="0"/>
      <w:szCs w:val="0"/>
    </w:rPr>
  </w:style>
  <w:style w:type="character" w:customStyle="1" w:styleId="23">
    <w:name w:val="纯文本 字符"/>
    <w:basedOn w:val="13"/>
    <w:link w:val="3"/>
    <w:semiHidden/>
    <w:qFormat/>
    <w:uiPriority w:val="99"/>
    <w:rPr>
      <w:rFonts w:ascii="宋体" w:hAnsi="Courier New" w:cs="Courier New"/>
      <w:szCs w:val="21"/>
    </w:rPr>
  </w:style>
  <w:style w:type="paragraph" w:customStyle="1" w:styleId="24">
    <w:name w:val="列出段落"/>
    <w:basedOn w:val="1"/>
    <w:qFormat/>
    <w:uiPriority w:val="99"/>
    <w:pPr>
      <w:ind w:firstLine="420" w:firstLineChars="200"/>
    </w:pPr>
  </w:style>
  <w:style w:type="character" w:customStyle="1" w:styleId="25">
    <w:name w:val="正文文本缩进 2 字符"/>
    <w:basedOn w:val="13"/>
    <w:link w:val="5"/>
    <w:semiHidden/>
    <w:qFormat/>
    <w:locked/>
    <w:uiPriority w:val="99"/>
    <w:rPr>
      <w:rFonts w:eastAsia="宋体" w:cs="Times New Roman"/>
      <w:kern w:val="2"/>
      <w:sz w:val="24"/>
      <w:szCs w:val="24"/>
      <w:lang w:val="en-US" w:eastAsia="zh-CN" w:bidi="ar-SA"/>
    </w:rPr>
  </w:style>
  <w:style w:type="character" w:customStyle="1" w:styleId="26">
    <w:name w:val="HTML 预设格式 字符"/>
    <w:basedOn w:val="13"/>
    <w:link w:val="9"/>
    <w:semiHidden/>
    <w:qFormat/>
    <w:uiPriority w:val="99"/>
    <w:rPr>
      <w:rFonts w:ascii="Courier New" w:hAnsi="Courier New" w:cs="Courier New"/>
      <w:sz w:val="20"/>
      <w:szCs w:val="20"/>
    </w:rPr>
  </w:style>
  <w:style w:type="paragraph" w:customStyle="1" w:styleId="27">
    <w:name w:val="pic-info"/>
    <w:basedOn w:val="1"/>
    <w:qFormat/>
    <w:uiPriority w:val="99"/>
    <w:pPr>
      <w:widowControl/>
      <w:spacing w:before="100" w:beforeAutospacing="1" w:after="100" w:afterAutospacing="1"/>
      <w:jc w:val="left"/>
    </w:pPr>
    <w:rPr>
      <w:rFonts w:ascii="宋体" w:hAnsi="宋体" w:cs="宋体"/>
      <w:kern w:val="0"/>
      <w:sz w:val="24"/>
    </w:rPr>
  </w:style>
  <w:style w:type="paragraph" w:customStyle="1" w:styleId="28">
    <w:name w:val="Default"/>
    <w:unhideWhenUsed/>
    <w:qFormat/>
    <w:uiPriority w:val="99"/>
    <w:pPr>
      <w:widowControl w:val="0"/>
      <w:autoSpaceDE w:val="0"/>
      <w:autoSpaceDN w:val="0"/>
      <w:adjustRightInd w:val="0"/>
    </w:pPr>
    <w:rPr>
      <w:rFonts w:hint="eastAsia" w:ascii="方正兰亭宋" w:hAnsi="方正兰亭宋" w:eastAsia="方正兰亭宋" w:cs="Times New Roman"/>
      <w:color w:val="000000"/>
      <w:sz w:val="24"/>
      <w:lang w:val="en-US" w:eastAsia="zh-CN" w:bidi="ar-SA"/>
    </w:rPr>
  </w:style>
  <w:style w:type="paragraph" w:customStyle="1" w:styleId="29">
    <w:name w:val="Pa1"/>
    <w:basedOn w:val="28"/>
    <w:next w:val="28"/>
    <w:unhideWhenUsed/>
    <w:qFormat/>
    <w:uiPriority w:val="99"/>
    <w:pPr>
      <w:spacing w:line="191" w:lineRule="atLeast"/>
    </w:pPr>
    <w:rPr>
      <w:rFonts w:hint="defaul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sxu</Company>
  <Pages>8</Pages>
  <Words>1812</Words>
  <Characters>10331</Characters>
  <Lines>86</Lines>
  <Paragraphs>24</Paragraphs>
  <TotalTime>1</TotalTime>
  <ScaleCrop>false</ScaleCrop>
  <LinksUpToDate>false</LinksUpToDate>
  <CharactersWithSpaces>12119</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2018-10-07T07:04:00Z</dcterms:created>
  <dc:creator>math</dc:creator>
  <cp:lastModifiedBy>LMJ</cp:lastModifiedBy>
  <cp:lastPrinted>2013-09-05T07:31:00Z</cp:lastPrinted>
  <dcterms:modified xsi:type="dcterms:W3CDTF">2021-12-09T00:55:49Z</dcterms:modified>
  <dc:title>专业名称      代码：xxxxx</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4B9E7B543AEE4BD390C63E551C47D473</vt:lpwstr>
  </property>
</Properties>
</file>